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66"/>
        <w:gridCol w:w="5566"/>
        <w:gridCol w:w="993"/>
        <w:gridCol w:w="291"/>
        <w:gridCol w:w="1500"/>
      </w:tblGrid>
      <w:tr w:rsidR="001C6382" w14:paraId="1EE178D7" w14:textId="77777777" w:rsidTr="00380DE5">
        <w:tc>
          <w:tcPr>
            <w:tcW w:w="9016" w:type="dxa"/>
            <w:gridSpan w:val="5"/>
            <w:shd w:val="clear" w:color="auto" w:fill="FFC000" w:themeFill="accent4"/>
          </w:tcPr>
          <w:p w14:paraId="02695B55" w14:textId="5B2512A1" w:rsidR="001C6382" w:rsidRPr="00863620" w:rsidRDefault="001C6382">
            <w:pPr>
              <w:rPr>
                <w:b/>
                <w:bCs/>
                <w:sz w:val="24"/>
                <w:szCs w:val="24"/>
              </w:rPr>
            </w:pPr>
            <w:r w:rsidRPr="00863620">
              <w:rPr>
                <w:b/>
                <w:bCs/>
                <w:sz w:val="24"/>
                <w:szCs w:val="24"/>
              </w:rPr>
              <w:t>Loch Broom Community Renewables</w:t>
            </w:r>
          </w:p>
        </w:tc>
      </w:tr>
      <w:tr w:rsidR="001C6382" w14:paraId="61C0DF31" w14:textId="77777777" w:rsidTr="003030F1">
        <w:tc>
          <w:tcPr>
            <w:tcW w:w="9016" w:type="dxa"/>
            <w:gridSpan w:val="5"/>
            <w:shd w:val="clear" w:color="auto" w:fill="FFF2CC" w:themeFill="accent4" w:themeFillTint="33"/>
          </w:tcPr>
          <w:p w14:paraId="2FC2DDB9" w14:textId="11750EF7" w:rsidR="001C6382" w:rsidRDefault="001C6382">
            <w:r>
              <w:t xml:space="preserve">Minutes meeting held </w:t>
            </w:r>
            <w:r w:rsidR="0056522F">
              <w:t>16 December</w:t>
            </w:r>
            <w:r w:rsidR="00CF65C9">
              <w:t xml:space="preserve"> 2020</w:t>
            </w:r>
            <w:r w:rsidR="00493DF3">
              <w:t xml:space="preserve"> </w:t>
            </w:r>
            <w:r w:rsidR="003030F1">
              <w:t>19:30 - Zoom</w:t>
            </w:r>
          </w:p>
        </w:tc>
      </w:tr>
      <w:tr w:rsidR="001C6382" w14:paraId="5EA2E051" w14:textId="77777777" w:rsidTr="00001684">
        <w:tc>
          <w:tcPr>
            <w:tcW w:w="9016" w:type="dxa"/>
            <w:gridSpan w:val="5"/>
          </w:tcPr>
          <w:p w14:paraId="5A835EF5" w14:textId="6D58829E" w:rsidR="001C6382" w:rsidRDefault="00347D92">
            <w:r w:rsidRPr="00347D92">
              <w:t>Present:</w:t>
            </w:r>
            <w:r>
              <w:t xml:space="preserve"> </w:t>
            </w:r>
            <w:r w:rsidR="00E0510D">
              <w:tab/>
            </w:r>
            <w:r w:rsidRPr="00347D92">
              <w:t xml:space="preserve">Rob Gibson (Chair), </w:t>
            </w:r>
            <w:r w:rsidR="00E0510D">
              <w:t xml:space="preserve">Paul Copestake, Kathleen Donald, Sarah Donald (Di Rollo), </w:t>
            </w:r>
            <w:r w:rsidR="0056522F">
              <w:tab/>
            </w:r>
            <w:r w:rsidR="0056522F">
              <w:tab/>
            </w:r>
            <w:r w:rsidR="0056522F">
              <w:tab/>
            </w:r>
            <w:r w:rsidRPr="00347D92">
              <w:t>Andy Kaye, Dave Maxwell</w:t>
            </w:r>
            <w:r w:rsidR="00E0510D">
              <w:t>, Sandy Osborne</w:t>
            </w:r>
            <w:r w:rsidR="00F44C20">
              <w:t>, Robert Mackenzie</w:t>
            </w:r>
          </w:p>
          <w:p w14:paraId="2A898770" w14:textId="791D9998" w:rsidR="00E0510D" w:rsidRDefault="00E0510D"/>
          <w:p w14:paraId="7F9A481D" w14:textId="2555F303" w:rsidR="00E0510D" w:rsidRDefault="00E0510D">
            <w:r>
              <w:t>Apologies:</w:t>
            </w:r>
            <w:r>
              <w:tab/>
            </w:r>
            <w:proofErr w:type="spellStart"/>
            <w:r w:rsidR="0056522F">
              <w:t>Seori</w:t>
            </w:r>
            <w:proofErr w:type="spellEnd"/>
            <w:r w:rsidR="0056522F">
              <w:t xml:space="preserve"> Burnett, Alex Cochrane, Tim Gauntlet</w:t>
            </w:r>
            <w:r w:rsidR="00A53B52">
              <w:t>, Alison Parsons</w:t>
            </w:r>
          </w:p>
          <w:p w14:paraId="08CE3A7D" w14:textId="77777777" w:rsidR="00E0510D" w:rsidRDefault="00E0510D"/>
          <w:p w14:paraId="0C100BD7" w14:textId="4880C1BF" w:rsidR="00E0510D" w:rsidRDefault="00E0510D">
            <w:r>
              <w:t>Minutes:</w:t>
            </w:r>
            <w:r>
              <w:tab/>
              <w:t>Edel Walsh</w:t>
            </w:r>
          </w:p>
        </w:tc>
      </w:tr>
      <w:tr w:rsidR="001C6382" w14:paraId="5125BC96" w14:textId="77777777" w:rsidTr="00001684">
        <w:tc>
          <w:tcPr>
            <w:tcW w:w="9016" w:type="dxa"/>
            <w:gridSpan w:val="5"/>
          </w:tcPr>
          <w:p w14:paraId="53BB3D26" w14:textId="55C89067" w:rsidR="001C6382" w:rsidRDefault="001C6382"/>
        </w:tc>
      </w:tr>
      <w:tr w:rsidR="001C6382" w14:paraId="178EC3A0" w14:textId="77777777" w:rsidTr="00F731E1">
        <w:tc>
          <w:tcPr>
            <w:tcW w:w="666" w:type="dxa"/>
            <w:shd w:val="clear" w:color="auto" w:fill="FFC000" w:themeFill="accent4"/>
          </w:tcPr>
          <w:p w14:paraId="1AA2952C" w14:textId="45BA6957" w:rsidR="001C6382" w:rsidRPr="00863620" w:rsidRDefault="001C6382" w:rsidP="00704043">
            <w:pPr>
              <w:jc w:val="center"/>
              <w:rPr>
                <w:b/>
                <w:bCs/>
                <w:sz w:val="24"/>
                <w:szCs w:val="24"/>
              </w:rPr>
            </w:pPr>
            <w:bookmarkStart w:id="0" w:name="_Hlk49631243"/>
            <w:r w:rsidRPr="00863620">
              <w:rPr>
                <w:b/>
                <w:bCs/>
                <w:sz w:val="24"/>
                <w:szCs w:val="24"/>
              </w:rPr>
              <w:t>No</w:t>
            </w:r>
          </w:p>
        </w:tc>
        <w:tc>
          <w:tcPr>
            <w:tcW w:w="5566" w:type="dxa"/>
            <w:shd w:val="clear" w:color="auto" w:fill="FFC000" w:themeFill="accent4"/>
          </w:tcPr>
          <w:p w14:paraId="6A417BD1" w14:textId="170BCC11" w:rsidR="001C6382" w:rsidRPr="00863620" w:rsidRDefault="001C6382">
            <w:pPr>
              <w:rPr>
                <w:b/>
                <w:bCs/>
                <w:sz w:val="24"/>
                <w:szCs w:val="24"/>
              </w:rPr>
            </w:pPr>
            <w:r w:rsidRPr="00863620">
              <w:rPr>
                <w:b/>
                <w:bCs/>
                <w:sz w:val="24"/>
                <w:szCs w:val="24"/>
              </w:rPr>
              <w:t>Details</w:t>
            </w:r>
          </w:p>
        </w:tc>
        <w:tc>
          <w:tcPr>
            <w:tcW w:w="993" w:type="dxa"/>
            <w:shd w:val="clear" w:color="auto" w:fill="FFC000" w:themeFill="accent4"/>
          </w:tcPr>
          <w:p w14:paraId="6D380206" w14:textId="0BF0D515" w:rsidR="001C6382" w:rsidRPr="00863620" w:rsidRDefault="001C6382">
            <w:pPr>
              <w:rPr>
                <w:b/>
                <w:bCs/>
                <w:sz w:val="24"/>
                <w:szCs w:val="24"/>
              </w:rPr>
            </w:pPr>
            <w:r w:rsidRPr="00863620">
              <w:rPr>
                <w:b/>
                <w:bCs/>
                <w:sz w:val="24"/>
                <w:szCs w:val="24"/>
              </w:rPr>
              <w:t>Action</w:t>
            </w:r>
          </w:p>
        </w:tc>
        <w:tc>
          <w:tcPr>
            <w:tcW w:w="1791" w:type="dxa"/>
            <w:gridSpan w:val="2"/>
            <w:shd w:val="clear" w:color="auto" w:fill="FFC000" w:themeFill="accent4"/>
          </w:tcPr>
          <w:p w14:paraId="18B29F1C" w14:textId="7447BBBD" w:rsidR="001C6382" w:rsidRPr="00863620" w:rsidRDefault="001C6382">
            <w:pPr>
              <w:rPr>
                <w:b/>
                <w:bCs/>
                <w:sz w:val="24"/>
                <w:szCs w:val="24"/>
              </w:rPr>
            </w:pPr>
            <w:r w:rsidRPr="00863620">
              <w:rPr>
                <w:b/>
                <w:bCs/>
                <w:sz w:val="24"/>
                <w:szCs w:val="24"/>
              </w:rPr>
              <w:t>Comment</w:t>
            </w:r>
          </w:p>
        </w:tc>
      </w:tr>
      <w:bookmarkEnd w:id="0"/>
      <w:tr w:rsidR="00347D92" w14:paraId="6A07B343" w14:textId="77777777" w:rsidTr="00BA6223">
        <w:tc>
          <w:tcPr>
            <w:tcW w:w="666" w:type="dxa"/>
            <w:shd w:val="clear" w:color="auto" w:fill="FFF2CC" w:themeFill="accent4" w:themeFillTint="33"/>
          </w:tcPr>
          <w:p w14:paraId="00E65FF6" w14:textId="625E7817" w:rsidR="00347D92" w:rsidRDefault="00347D92" w:rsidP="00704043">
            <w:pPr>
              <w:jc w:val="center"/>
            </w:pPr>
            <w:r>
              <w:t>1</w:t>
            </w:r>
          </w:p>
        </w:tc>
        <w:tc>
          <w:tcPr>
            <w:tcW w:w="8350" w:type="dxa"/>
            <w:gridSpan w:val="4"/>
            <w:shd w:val="clear" w:color="auto" w:fill="FFF2CC" w:themeFill="accent4" w:themeFillTint="33"/>
          </w:tcPr>
          <w:p w14:paraId="7E1AED1F" w14:textId="45CA23D5" w:rsidR="00347D92" w:rsidRDefault="00347D92">
            <w:r w:rsidRPr="00347D92">
              <w:t xml:space="preserve">Approval (and publication) of minutes </w:t>
            </w:r>
            <w:r w:rsidR="00F44C20">
              <w:t xml:space="preserve">of </w:t>
            </w:r>
            <w:r w:rsidR="0056522F">
              <w:t xml:space="preserve">4 </w:t>
            </w:r>
            <w:r w:rsidR="00A53B52">
              <w:t xml:space="preserve">December </w:t>
            </w:r>
            <w:r w:rsidR="00F44C20">
              <w:t>2020</w:t>
            </w:r>
            <w:r w:rsidR="00E0510D">
              <w:t xml:space="preserve">:  Prop DM/ Sec </w:t>
            </w:r>
            <w:r w:rsidR="0056522F">
              <w:t>KD</w:t>
            </w:r>
          </w:p>
        </w:tc>
      </w:tr>
      <w:tr w:rsidR="005F720A" w14:paraId="70D11697" w14:textId="77777777" w:rsidTr="00F731E1">
        <w:tc>
          <w:tcPr>
            <w:tcW w:w="666" w:type="dxa"/>
            <w:shd w:val="clear" w:color="auto" w:fill="FFC000" w:themeFill="accent4"/>
          </w:tcPr>
          <w:p w14:paraId="785BFFD0" w14:textId="2D26B17B" w:rsidR="005F720A" w:rsidRPr="007B550F" w:rsidRDefault="005F720A" w:rsidP="00704043">
            <w:pPr>
              <w:jc w:val="center"/>
              <w:rPr>
                <w:b/>
                <w:bCs/>
                <w:sz w:val="24"/>
                <w:szCs w:val="24"/>
              </w:rPr>
            </w:pPr>
            <w:r w:rsidRPr="007B550F">
              <w:rPr>
                <w:b/>
                <w:bCs/>
                <w:sz w:val="24"/>
                <w:szCs w:val="24"/>
              </w:rPr>
              <w:t>No</w:t>
            </w:r>
          </w:p>
        </w:tc>
        <w:tc>
          <w:tcPr>
            <w:tcW w:w="5566" w:type="dxa"/>
            <w:shd w:val="clear" w:color="auto" w:fill="FFC000" w:themeFill="accent4"/>
          </w:tcPr>
          <w:p w14:paraId="7C71BC1B" w14:textId="2EAED765" w:rsidR="005F720A" w:rsidRPr="007B550F" w:rsidRDefault="005F720A">
            <w:pPr>
              <w:rPr>
                <w:b/>
                <w:bCs/>
                <w:sz w:val="24"/>
                <w:szCs w:val="24"/>
              </w:rPr>
            </w:pPr>
            <w:r w:rsidRPr="007B550F">
              <w:rPr>
                <w:b/>
                <w:bCs/>
                <w:sz w:val="24"/>
                <w:szCs w:val="24"/>
              </w:rPr>
              <w:t>Details</w:t>
            </w:r>
          </w:p>
        </w:tc>
        <w:tc>
          <w:tcPr>
            <w:tcW w:w="993" w:type="dxa"/>
            <w:shd w:val="clear" w:color="auto" w:fill="FFC000" w:themeFill="accent4"/>
          </w:tcPr>
          <w:p w14:paraId="324A473A" w14:textId="72AB7BBB" w:rsidR="005F720A" w:rsidRPr="007B550F" w:rsidRDefault="005F720A">
            <w:pPr>
              <w:rPr>
                <w:b/>
                <w:bCs/>
                <w:sz w:val="24"/>
                <w:szCs w:val="24"/>
              </w:rPr>
            </w:pPr>
            <w:r w:rsidRPr="007B550F">
              <w:rPr>
                <w:b/>
                <w:bCs/>
                <w:sz w:val="24"/>
                <w:szCs w:val="24"/>
              </w:rPr>
              <w:t>Action</w:t>
            </w:r>
          </w:p>
        </w:tc>
        <w:tc>
          <w:tcPr>
            <w:tcW w:w="1791" w:type="dxa"/>
            <w:gridSpan w:val="2"/>
            <w:shd w:val="clear" w:color="auto" w:fill="FFC000" w:themeFill="accent4"/>
          </w:tcPr>
          <w:p w14:paraId="669B59CE" w14:textId="3943D467" w:rsidR="005F720A" w:rsidRPr="007B550F" w:rsidRDefault="005F720A">
            <w:pPr>
              <w:rPr>
                <w:b/>
                <w:bCs/>
                <w:sz w:val="24"/>
                <w:szCs w:val="24"/>
              </w:rPr>
            </w:pPr>
            <w:r w:rsidRPr="007B550F">
              <w:rPr>
                <w:b/>
                <w:bCs/>
                <w:sz w:val="24"/>
                <w:szCs w:val="24"/>
              </w:rPr>
              <w:t>Comment</w:t>
            </w:r>
          </w:p>
        </w:tc>
      </w:tr>
      <w:tr w:rsidR="00E33F76" w14:paraId="1A3EDC41" w14:textId="77777777" w:rsidTr="00BA6223">
        <w:tc>
          <w:tcPr>
            <w:tcW w:w="666" w:type="dxa"/>
            <w:shd w:val="clear" w:color="auto" w:fill="FFF2CC" w:themeFill="accent4" w:themeFillTint="33"/>
          </w:tcPr>
          <w:p w14:paraId="4C3C85AE" w14:textId="7C1D4AA3" w:rsidR="00E33F76" w:rsidRPr="00C13D40" w:rsidRDefault="00E33F76" w:rsidP="00704043">
            <w:pPr>
              <w:jc w:val="center"/>
              <w:rPr>
                <w:b/>
                <w:bCs/>
                <w:sz w:val="24"/>
                <w:szCs w:val="24"/>
              </w:rPr>
            </w:pPr>
            <w:r w:rsidRPr="00C13D40">
              <w:rPr>
                <w:b/>
                <w:bCs/>
                <w:sz w:val="24"/>
                <w:szCs w:val="24"/>
              </w:rPr>
              <w:t>2</w:t>
            </w:r>
          </w:p>
        </w:tc>
        <w:tc>
          <w:tcPr>
            <w:tcW w:w="8350" w:type="dxa"/>
            <w:gridSpan w:val="4"/>
            <w:shd w:val="clear" w:color="auto" w:fill="FFF2CC" w:themeFill="accent4" w:themeFillTint="33"/>
          </w:tcPr>
          <w:p w14:paraId="02087A0C" w14:textId="30776A06" w:rsidR="00E33F76" w:rsidRPr="00C13D40" w:rsidRDefault="00E33F76">
            <w:pPr>
              <w:rPr>
                <w:b/>
                <w:bCs/>
                <w:sz w:val="24"/>
                <w:szCs w:val="24"/>
              </w:rPr>
            </w:pPr>
            <w:r w:rsidRPr="00C13D40">
              <w:rPr>
                <w:b/>
                <w:bCs/>
                <w:sz w:val="24"/>
                <w:szCs w:val="24"/>
              </w:rPr>
              <w:t xml:space="preserve">Matters </w:t>
            </w:r>
            <w:r w:rsidR="00D501B5" w:rsidRPr="00C13D40">
              <w:rPr>
                <w:b/>
                <w:bCs/>
                <w:sz w:val="24"/>
                <w:szCs w:val="24"/>
              </w:rPr>
              <w:t>A</w:t>
            </w:r>
            <w:r w:rsidRPr="00C13D40">
              <w:rPr>
                <w:b/>
                <w:bCs/>
                <w:sz w:val="24"/>
                <w:szCs w:val="24"/>
              </w:rPr>
              <w:t xml:space="preserve">rising </w:t>
            </w:r>
            <w:r w:rsidR="003C760C" w:rsidRPr="00C13D40">
              <w:rPr>
                <w:b/>
                <w:bCs/>
                <w:sz w:val="24"/>
                <w:szCs w:val="24"/>
              </w:rPr>
              <w:t>from</w:t>
            </w:r>
            <w:r w:rsidRPr="00C13D40">
              <w:rPr>
                <w:b/>
                <w:bCs/>
                <w:sz w:val="24"/>
                <w:szCs w:val="24"/>
              </w:rPr>
              <w:t xml:space="preserve"> </w:t>
            </w:r>
            <w:r w:rsidR="00F44C20">
              <w:rPr>
                <w:b/>
                <w:bCs/>
                <w:sz w:val="24"/>
                <w:szCs w:val="24"/>
              </w:rPr>
              <w:t xml:space="preserve">Previous </w:t>
            </w:r>
            <w:r w:rsidRPr="00C13D40">
              <w:rPr>
                <w:b/>
                <w:bCs/>
                <w:sz w:val="24"/>
                <w:szCs w:val="24"/>
              </w:rPr>
              <w:t>Minutes</w:t>
            </w:r>
          </w:p>
        </w:tc>
      </w:tr>
      <w:tr w:rsidR="00E33F76" w14:paraId="37C2B043" w14:textId="77777777" w:rsidTr="00F731E1">
        <w:tc>
          <w:tcPr>
            <w:tcW w:w="666" w:type="dxa"/>
          </w:tcPr>
          <w:p w14:paraId="3B7C96B4" w14:textId="75E4710B" w:rsidR="00E33F76" w:rsidRDefault="00704043" w:rsidP="00704043">
            <w:pPr>
              <w:jc w:val="center"/>
            </w:pPr>
            <w:r>
              <w:t>2.</w:t>
            </w:r>
            <w:r w:rsidR="00493536">
              <w:t>1</w:t>
            </w:r>
          </w:p>
        </w:tc>
        <w:tc>
          <w:tcPr>
            <w:tcW w:w="5566" w:type="dxa"/>
          </w:tcPr>
          <w:p w14:paraId="15D6C3C1" w14:textId="0CBE457D" w:rsidR="00FB7568" w:rsidRDefault="00704043" w:rsidP="00FB7568">
            <w:r>
              <w:t>Flow enhancements</w:t>
            </w:r>
            <w:r w:rsidR="004D0B5C">
              <w:t>.</w:t>
            </w:r>
          </w:p>
          <w:p w14:paraId="7A7C8427" w14:textId="15E6D1C5" w:rsidR="004D0B5C" w:rsidRDefault="004D0B5C" w:rsidP="00FB7568"/>
          <w:p w14:paraId="35AE598C" w14:textId="45932857" w:rsidR="004E5D20" w:rsidRDefault="002847B9" w:rsidP="002847B9">
            <w:r>
              <w:t>RG has been in touch with Nature Scotland.  The SSSI follows a path to the south side of the burn, just above the hydro.  Any plans can be discussed with NS.   Important to note extensive list of prohibited actions (</w:t>
            </w:r>
            <w:proofErr w:type="spellStart"/>
            <w:proofErr w:type="gramStart"/>
            <w:r>
              <w:t>eg</w:t>
            </w:r>
            <w:proofErr w:type="spellEnd"/>
            <w:proofErr w:type="gramEnd"/>
            <w:r>
              <w:t xml:space="preserve"> drainage, plant destruction).  </w:t>
            </w:r>
          </w:p>
        </w:tc>
        <w:tc>
          <w:tcPr>
            <w:tcW w:w="993" w:type="dxa"/>
          </w:tcPr>
          <w:p w14:paraId="26E47CA5" w14:textId="2A1EF476" w:rsidR="00E33F76" w:rsidRDefault="00655998">
            <w:r>
              <w:t>PGC</w:t>
            </w:r>
          </w:p>
          <w:p w14:paraId="43DA7AC7" w14:textId="77777777" w:rsidR="004E5D20" w:rsidRDefault="004E5D20"/>
          <w:p w14:paraId="1162FFD6" w14:textId="77777777" w:rsidR="004E5D20" w:rsidRDefault="004E5D20"/>
          <w:p w14:paraId="1C0D0F9B" w14:textId="77777777" w:rsidR="004E5D20" w:rsidRDefault="004E5D20"/>
          <w:p w14:paraId="2B29691F" w14:textId="77777777" w:rsidR="004E5D20" w:rsidRDefault="004E5D20"/>
          <w:p w14:paraId="3569F481" w14:textId="77777777" w:rsidR="00891CB3" w:rsidRDefault="00891CB3"/>
          <w:p w14:paraId="7CAE27BF" w14:textId="2B8861DC" w:rsidR="004E5D20" w:rsidRDefault="004E5D20"/>
        </w:tc>
        <w:tc>
          <w:tcPr>
            <w:tcW w:w="1791" w:type="dxa"/>
            <w:gridSpan w:val="2"/>
          </w:tcPr>
          <w:p w14:paraId="31768622" w14:textId="2F2FE41F" w:rsidR="004E5D20" w:rsidRDefault="00FB7568">
            <w:r>
              <w:t>Report next meeting</w:t>
            </w:r>
          </w:p>
          <w:p w14:paraId="4037CD10" w14:textId="5EBE24B2" w:rsidR="004E5D20" w:rsidRDefault="004E5D20" w:rsidP="00F44C20"/>
        </w:tc>
      </w:tr>
      <w:tr w:rsidR="00E33F76" w14:paraId="7122050E" w14:textId="77777777" w:rsidTr="00F731E1">
        <w:tc>
          <w:tcPr>
            <w:tcW w:w="666" w:type="dxa"/>
          </w:tcPr>
          <w:p w14:paraId="1ED51A8B" w14:textId="22366450" w:rsidR="00E33F76" w:rsidRDefault="00655998" w:rsidP="00704043">
            <w:pPr>
              <w:jc w:val="center"/>
            </w:pPr>
            <w:r>
              <w:t>2.</w:t>
            </w:r>
            <w:r w:rsidR="00493536">
              <w:t>2</w:t>
            </w:r>
          </w:p>
        </w:tc>
        <w:tc>
          <w:tcPr>
            <w:tcW w:w="5566" w:type="dxa"/>
          </w:tcPr>
          <w:p w14:paraId="7067F9D2" w14:textId="5BE6E2DA" w:rsidR="00E33F76" w:rsidRDefault="00655998">
            <w:r>
              <w:t>Land</w:t>
            </w:r>
            <w:r w:rsidR="00AE0411">
              <w:t xml:space="preserve"> purchase</w:t>
            </w:r>
            <w:r>
              <w:t xml:space="preserve"> agreement.  </w:t>
            </w:r>
            <w:r w:rsidR="00B9630E">
              <w:t xml:space="preserve">Valuers were in touch with S Underwood during the week </w:t>
            </w:r>
            <w:r w:rsidR="00493536">
              <w:t>seeking</w:t>
            </w:r>
            <w:r w:rsidR="00B9630E">
              <w:t xml:space="preserve"> UCT and LBC’s mitigation claim to reduce valuation.  AK contributed to this. </w:t>
            </w:r>
          </w:p>
        </w:tc>
        <w:tc>
          <w:tcPr>
            <w:tcW w:w="993" w:type="dxa"/>
          </w:tcPr>
          <w:p w14:paraId="5FE7D763" w14:textId="77777777" w:rsidR="00E33F76" w:rsidRDefault="00E33F76"/>
        </w:tc>
        <w:tc>
          <w:tcPr>
            <w:tcW w:w="1791" w:type="dxa"/>
            <w:gridSpan w:val="2"/>
          </w:tcPr>
          <w:p w14:paraId="5C3ED298" w14:textId="2C80ED87" w:rsidR="00E33F76" w:rsidRDefault="00AE0411" w:rsidP="00F731E1">
            <w:r>
              <w:t>Ongoing</w:t>
            </w:r>
            <w:r w:rsidR="00F44C20">
              <w:t>.</w:t>
            </w:r>
            <w:r w:rsidR="00F731E1">
              <w:t xml:space="preserve">  </w:t>
            </w:r>
            <w:r w:rsidR="00B9630E">
              <w:t xml:space="preserve">See Main Agenda Item </w:t>
            </w:r>
            <w:r w:rsidR="00493536">
              <w:t>7.2</w:t>
            </w:r>
          </w:p>
        </w:tc>
      </w:tr>
      <w:tr w:rsidR="00E33F76" w14:paraId="080BA363" w14:textId="77777777" w:rsidTr="00F731E1">
        <w:tc>
          <w:tcPr>
            <w:tcW w:w="666" w:type="dxa"/>
          </w:tcPr>
          <w:p w14:paraId="4F26479F" w14:textId="42E95872" w:rsidR="00E33F76" w:rsidRDefault="000E428D" w:rsidP="00704043">
            <w:pPr>
              <w:jc w:val="center"/>
            </w:pPr>
            <w:r>
              <w:t>2.</w:t>
            </w:r>
            <w:r w:rsidR="00493536">
              <w:t>3</w:t>
            </w:r>
          </w:p>
        </w:tc>
        <w:tc>
          <w:tcPr>
            <w:tcW w:w="5566" w:type="dxa"/>
          </w:tcPr>
          <w:p w14:paraId="0A967D53" w14:textId="5857C659" w:rsidR="00E33F76" w:rsidRDefault="000E428D">
            <w:r>
              <w:t xml:space="preserve">Community Benefit Fund  </w:t>
            </w:r>
          </w:p>
        </w:tc>
        <w:tc>
          <w:tcPr>
            <w:tcW w:w="993" w:type="dxa"/>
          </w:tcPr>
          <w:p w14:paraId="4A529578" w14:textId="257FF92A" w:rsidR="00E33F76" w:rsidRDefault="00E33F76"/>
        </w:tc>
        <w:tc>
          <w:tcPr>
            <w:tcW w:w="1791" w:type="dxa"/>
            <w:gridSpan w:val="2"/>
          </w:tcPr>
          <w:p w14:paraId="5D3CFEE6" w14:textId="4DC09DED" w:rsidR="00E33F76" w:rsidRDefault="00F731E1">
            <w:r>
              <w:t xml:space="preserve">See Main Agenda Item </w:t>
            </w:r>
            <w:r w:rsidR="00493536">
              <w:t>8</w:t>
            </w:r>
          </w:p>
        </w:tc>
      </w:tr>
      <w:tr w:rsidR="00E33F76" w14:paraId="1ECDAE46" w14:textId="77777777" w:rsidTr="00F731E1">
        <w:tc>
          <w:tcPr>
            <w:tcW w:w="666" w:type="dxa"/>
          </w:tcPr>
          <w:p w14:paraId="72DDBACF" w14:textId="5BC9EF5D" w:rsidR="00E33F76" w:rsidRDefault="00D8630B" w:rsidP="00704043">
            <w:pPr>
              <w:jc w:val="center"/>
            </w:pPr>
            <w:r>
              <w:t>2.</w:t>
            </w:r>
            <w:r w:rsidR="00493536">
              <w:t>4</w:t>
            </w:r>
          </w:p>
        </w:tc>
        <w:tc>
          <w:tcPr>
            <w:tcW w:w="5566" w:type="dxa"/>
          </w:tcPr>
          <w:p w14:paraId="3F549395" w14:textId="1AABAF09" w:rsidR="00E33F76" w:rsidRDefault="00D8630B">
            <w:r w:rsidRPr="00D8630B">
              <w:t>Hydro project with High School</w:t>
            </w:r>
          </w:p>
        </w:tc>
        <w:tc>
          <w:tcPr>
            <w:tcW w:w="993" w:type="dxa"/>
          </w:tcPr>
          <w:p w14:paraId="2AAE82B0" w14:textId="3CB083DC" w:rsidR="00E33F76" w:rsidRDefault="00D8630B">
            <w:r>
              <w:t>SD</w:t>
            </w:r>
          </w:p>
        </w:tc>
        <w:tc>
          <w:tcPr>
            <w:tcW w:w="1791" w:type="dxa"/>
            <w:gridSpan w:val="2"/>
          </w:tcPr>
          <w:p w14:paraId="03D85F53" w14:textId="05DE455F" w:rsidR="00E33F76" w:rsidRDefault="00F44C20">
            <w:r>
              <w:t>Carry Forward</w:t>
            </w:r>
          </w:p>
        </w:tc>
      </w:tr>
      <w:tr w:rsidR="00D8630B" w14:paraId="241CE18D" w14:textId="77777777" w:rsidTr="00F731E1">
        <w:tc>
          <w:tcPr>
            <w:tcW w:w="666" w:type="dxa"/>
          </w:tcPr>
          <w:p w14:paraId="0CC8553D" w14:textId="689276D1" w:rsidR="00D8630B" w:rsidRDefault="0048459D" w:rsidP="00704043">
            <w:pPr>
              <w:jc w:val="center"/>
            </w:pPr>
            <w:r>
              <w:t>2.</w:t>
            </w:r>
            <w:r w:rsidR="00493536">
              <w:t>5</w:t>
            </w:r>
          </w:p>
        </w:tc>
        <w:tc>
          <w:tcPr>
            <w:tcW w:w="5566" w:type="dxa"/>
          </w:tcPr>
          <w:p w14:paraId="7C7AB3D6" w14:textId="08E35C63" w:rsidR="00D8630B" w:rsidRDefault="0048459D">
            <w:r>
              <w:t xml:space="preserve">Power </w:t>
            </w:r>
            <w:r w:rsidR="00773B40">
              <w:t>P</w:t>
            </w:r>
            <w:r>
              <w:t xml:space="preserve">urchase </w:t>
            </w:r>
            <w:r w:rsidR="00773B40">
              <w:t>A</w:t>
            </w:r>
            <w:r>
              <w:t xml:space="preserve">greement:  process starts in Feb, to approach </w:t>
            </w:r>
            <w:proofErr w:type="spellStart"/>
            <w:r>
              <w:t>Locogen</w:t>
            </w:r>
            <w:proofErr w:type="spellEnd"/>
            <w:r>
              <w:t xml:space="preserve"> to </w:t>
            </w:r>
            <w:r w:rsidR="00773B40">
              <w:t>conduct</w:t>
            </w:r>
            <w:r>
              <w:t xml:space="preserve"> on LCR behalf. Are there other options? Investigate and report back</w:t>
            </w:r>
            <w:r w:rsidR="00773B40">
              <w:t>.</w:t>
            </w:r>
            <w:r>
              <w:t xml:space="preserve"> </w:t>
            </w:r>
          </w:p>
        </w:tc>
        <w:tc>
          <w:tcPr>
            <w:tcW w:w="993" w:type="dxa"/>
          </w:tcPr>
          <w:p w14:paraId="0A521F2B" w14:textId="0A484D38" w:rsidR="00D8630B" w:rsidRDefault="0048459D">
            <w:r>
              <w:t>AK and SO</w:t>
            </w:r>
          </w:p>
        </w:tc>
        <w:tc>
          <w:tcPr>
            <w:tcW w:w="1791" w:type="dxa"/>
            <w:gridSpan w:val="2"/>
          </w:tcPr>
          <w:p w14:paraId="0B826301" w14:textId="17A4280C" w:rsidR="00D8630B" w:rsidRDefault="00891CB3">
            <w:r>
              <w:t xml:space="preserve">Review </w:t>
            </w:r>
            <w:r w:rsidR="00F731E1">
              <w:t xml:space="preserve">&amp; </w:t>
            </w:r>
            <w:r>
              <w:t>action</w:t>
            </w:r>
            <w:r w:rsidR="00AE0411">
              <w:t xml:space="preserve"> February 2021</w:t>
            </w:r>
          </w:p>
        </w:tc>
      </w:tr>
      <w:tr w:rsidR="00F85F93" w14:paraId="4D703154" w14:textId="77777777" w:rsidTr="00F731E1">
        <w:tc>
          <w:tcPr>
            <w:tcW w:w="666" w:type="dxa"/>
            <w:shd w:val="clear" w:color="auto" w:fill="FFC000" w:themeFill="accent4"/>
          </w:tcPr>
          <w:p w14:paraId="4D977BC8" w14:textId="6BE7EA75" w:rsidR="00F85F93" w:rsidRPr="00891CB3" w:rsidRDefault="00F85F93" w:rsidP="00704043">
            <w:pPr>
              <w:jc w:val="center"/>
              <w:rPr>
                <w:b/>
                <w:bCs/>
                <w:sz w:val="24"/>
                <w:szCs w:val="24"/>
              </w:rPr>
            </w:pPr>
            <w:r w:rsidRPr="00891CB3">
              <w:rPr>
                <w:b/>
                <w:bCs/>
                <w:sz w:val="24"/>
                <w:szCs w:val="24"/>
              </w:rPr>
              <w:t>No</w:t>
            </w:r>
          </w:p>
        </w:tc>
        <w:tc>
          <w:tcPr>
            <w:tcW w:w="5566" w:type="dxa"/>
            <w:shd w:val="clear" w:color="auto" w:fill="FFC000" w:themeFill="accent4"/>
          </w:tcPr>
          <w:p w14:paraId="477477FB" w14:textId="797ED23C" w:rsidR="00F85F93" w:rsidRPr="00891CB3" w:rsidRDefault="00F85F93">
            <w:pPr>
              <w:rPr>
                <w:b/>
                <w:bCs/>
                <w:sz w:val="24"/>
                <w:szCs w:val="24"/>
              </w:rPr>
            </w:pPr>
            <w:r w:rsidRPr="00891CB3">
              <w:rPr>
                <w:b/>
                <w:bCs/>
                <w:sz w:val="24"/>
                <w:szCs w:val="24"/>
              </w:rPr>
              <w:t>Details</w:t>
            </w:r>
          </w:p>
        </w:tc>
        <w:tc>
          <w:tcPr>
            <w:tcW w:w="993" w:type="dxa"/>
            <w:shd w:val="clear" w:color="auto" w:fill="FFC000" w:themeFill="accent4"/>
          </w:tcPr>
          <w:p w14:paraId="5A2BA73B" w14:textId="365F34C8" w:rsidR="00F85F93" w:rsidRPr="00891CB3" w:rsidRDefault="00F85F93">
            <w:pPr>
              <w:rPr>
                <w:b/>
                <w:bCs/>
                <w:sz w:val="24"/>
                <w:szCs w:val="24"/>
              </w:rPr>
            </w:pPr>
            <w:r w:rsidRPr="00891CB3">
              <w:rPr>
                <w:b/>
                <w:bCs/>
                <w:sz w:val="24"/>
                <w:szCs w:val="24"/>
              </w:rPr>
              <w:t>Action</w:t>
            </w:r>
          </w:p>
        </w:tc>
        <w:tc>
          <w:tcPr>
            <w:tcW w:w="1791" w:type="dxa"/>
            <w:gridSpan w:val="2"/>
            <w:shd w:val="clear" w:color="auto" w:fill="FFC000" w:themeFill="accent4"/>
          </w:tcPr>
          <w:p w14:paraId="57BB7479" w14:textId="77777777" w:rsidR="00F85F93" w:rsidRPr="00891CB3" w:rsidRDefault="00F85F93">
            <w:pPr>
              <w:rPr>
                <w:b/>
                <w:bCs/>
                <w:sz w:val="24"/>
                <w:szCs w:val="24"/>
              </w:rPr>
            </w:pPr>
          </w:p>
        </w:tc>
      </w:tr>
      <w:tr w:rsidR="00D67E27" w14:paraId="69B22BAE" w14:textId="77777777" w:rsidTr="00DB3702">
        <w:tc>
          <w:tcPr>
            <w:tcW w:w="666" w:type="dxa"/>
            <w:shd w:val="clear" w:color="auto" w:fill="FFF2CC" w:themeFill="accent4" w:themeFillTint="33"/>
          </w:tcPr>
          <w:p w14:paraId="285822C7" w14:textId="03D0F457" w:rsidR="00D67E27" w:rsidRPr="00C13D40" w:rsidRDefault="00F85F93" w:rsidP="00704043">
            <w:pPr>
              <w:jc w:val="center"/>
              <w:rPr>
                <w:b/>
                <w:bCs/>
                <w:sz w:val="24"/>
                <w:szCs w:val="24"/>
              </w:rPr>
            </w:pPr>
            <w:r>
              <w:rPr>
                <w:b/>
                <w:bCs/>
                <w:sz w:val="24"/>
                <w:szCs w:val="24"/>
              </w:rPr>
              <w:t xml:space="preserve">3 </w:t>
            </w:r>
          </w:p>
        </w:tc>
        <w:tc>
          <w:tcPr>
            <w:tcW w:w="8350" w:type="dxa"/>
            <w:gridSpan w:val="4"/>
            <w:shd w:val="clear" w:color="auto" w:fill="FFF2CC" w:themeFill="accent4" w:themeFillTint="33"/>
          </w:tcPr>
          <w:p w14:paraId="583AFABE" w14:textId="158B5D78" w:rsidR="00D67E27" w:rsidRPr="00C13D40" w:rsidRDefault="00F85F93">
            <w:pPr>
              <w:rPr>
                <w:b/>
                <w:bCs/>
                <w:sz w:val="24"/>
                <w:szCs w:val="24"/>
              </w:rPr>
            </w:pPr>
            <w:r>
              <w:rPr>
                <w:b/>
                <w:bCs/>
                <w:sz w:val="24"/>
                <w:szCs w:val="24"/>
              </w:rPr>
              <w:t>Treasurer’s Report</w:t>
            </w:r>
          </w:p>
        </w:tc>
      </w:tr>
      <w:tr w:rsidR="00BA6223" w14:paraId="76C62828" w14:textId="77777777" w:rsidTr="00F731E1">
        <w:tc>
          <w:tcPr>
            <w:tcW w:w="666" w:type="dxa"/>
          </w:tcPr>
          <w:p w14:paraId="4C2AC9FD" w14:textId="77777777" w:rsidR="00BA6223" w:rsidRDefault="000639F6" w:rsidP="00704043">
            <w:pPr>
              <w:jc w:val="center"/>
            </w:pPr>
            <w:r>
              <w:t>3.</w:t>
            </w:r>
            <w:r w:rsidR="005F720A">
              <w:t>1</w:t>
            </w:r>
          </w:p>
          <w:p w14:paraId="63497FBC" w14:textId="77777777" w:rsidR="00605E70" w:rsidRDefault="00605E70" w:rsidP="00704043">
            <w:pPr>
              <w:jc w:val="center"/>
            </w:pPr>
          </w:p>
          <w:p w14:paraId="09F7D6D6" w14:textId="77777777" w:rsidR="00605E70" w:rsidRDefault="00605E70" w:rsidP="00704043">
            <w:pPr>
              <w:jc w:val="center"/>
            </w:pPr>
          </w:p>
          <w:p w14:paraId="1C8814A9" w14:textId="71F73E9F" w:rsidR="00605E70" w:rsidRDefault="00605E70" w:rsidP="00704043">
            <w:pPr>
              <w:jc w:val="center"/>
            </w:pPr>
            <w:r>
              <w:t>3.2</w:t>
            </w:r>
          </w:p>
          <w:p w14:paraId="6B1B8987" w14:textId="77777777" w:rsidR="00605E70" w:rsidRDefault="00605E70" w:rsidP="00704043">
            <w:pPr>
              <w:jc w:val="center"/>
            </w:pPr>
          </w:p>
          <w:p w14:paraId="07BFAD4C" w14:textId="77777777" w:rsidR="00605E70" w:rsidRDefault="00605E70" w:rsidP="00704043">
            <w:pPr>
              <w:jc w:val="center"/>
            </w:pPr>
          </w:p>
          <w:p w14:paraId="3F1E69B0" w14:textId="152B73FD" w:rsidR="00605E70" w:rsidRDefault="00605E70" w:rsidP="00704043">
            <w:pPr>
              <w:jc w:val="center"/>
            </w:pPr>
          </w:p>
        </w:tc>
        <w:tc>
          <w:tcPr>
            <w:tcW w:w="5566" w:type="dxa"/>
          </w:tcPr>
          <w:p w14:paraId="6642809E" w14:textId="155BF452" w:rsidR="00F07464" w:rsidRDefault="009B3756">
            <w:r>
              <w:t>AK circulated report for September/October.</w:t>
            </w:r>
            <w:r w:rsidR="00665C75">
              <w:t xml:space="preserve">  Too early to deliver </w:t>
            </w:r>
            <w:r>
              <w:t>November</w:t>
            </w:r>
            <w:r w:rsidR="00665C75">
              <w:t xml:space="preserve"> report.</w:t>
            </w:r>
          </w:p>
          <w:p w14:paraId="6FEF0314" w14:textId="3F55FBDE" w:rsidR="00665C75" w:rsidRDefault="00665C75"/>
          <w:p w14:paraId="0CC94B13" w14:textId="5D6B7B3C" w:rsidR="00605E70" w:rsidRDefault="009B3756" w:rsidP="001C5528">
            <w:r>
              <w:t>An investor who donated £50k has approached L</w:t>
            </w:r>
            <w:r w:rsidR="00773B40">
              <w:t>C</w:t>
            </w:r>
            <w:r>
              <w:t>R for repayment of £35k.  In the past several weeks, a</w:t>
            </w:r>
            <w:r w:rsidR="001C5528">
              <w:t xml:space="preserve"> further</w:t>
            </w:r>
            <w:r>
              <w:t xml:space="preserve"> £6k has been requested in refunds and £5,600 worth of shares have been donated.  </w:t>
            </w:r>
          </w:p>
        </w:tc>
        <w:tc>
          <w:tcPr>
            <w:tcW w:w="1284" w:type="dxa"/>
            <w:gridSpan w:val="2"/>
          </w:tcPr>
          <w:p w14:paraId="7AB7C29D" w14:textId="217F6ECD" w:rsidR="00BA6223" w:rsidRDefault="000639F6">
            <w:r>
              <w:t xml:space="preserve">AK </w:t>
            </w:r>
          </w:p>
          <w:p w14:paraId="252B7B64" w14:textId="77777777" w:rsidR="00F07464" w:rsidRDefault="00F07464"/>
          <w:p w14:paraId="20154044" w14:textId="77777777" w:rsidR="00F07464" w:rsidRDefault="00F07464"/>
          <w:p w14:paraId="7C1CE87F" w14:textId="77777777" w:rsidR="00F07464" w:rsidRDefault="00F07464"/>
          <w:p w14:paraId="7FBF3728" w14:textId="0AC9921E" w:rsidR="00F07464" w:rsidRDefault="00341E90">
            <w:r>
              <w:t>AK</w:t>
            </w:r>
          </w:p>
          <w:p w14:paraId="2151CBFB" w14:textId="6C037506" w:rsidR="00F07464" w:rsidRDefault="00F07464"/>
        </w:tc>
        <w:tc>
          <w:tcPr>
            <w:tcW w:w="1500" w:type="dxa"/>
          </w:tcPr>
          <w:p w14:paraId="3905F79D" w14:textId="77777777" w:rsidR="00BA6223" w:rsidRDefault="00BA6223"/>
          <w:p w14:paraId="503F999F" w14:textId="77777777" w:rsidR="00F07464" w:rsidRDefault="00F07464"/>
          <w:p w14:paraId="0539E8EF" w14:textId="77777777" w:rsidR="00F07464" w:rsidRDefault="00F07464"/>
          <w:p w14:paraId="20774A03" w14:textId="77777777" w:rsidR="00F07464" w:rsidRDefault="00F07464"/>
          <w:p w14:paraId="12338794" w14:textId="77777777" w:rsidR="00F07464" w:rsidRDefault="00F07464"/>
          <w:p w14:paraId="33B7C7A5" w14:textId="77777777" w:rsidR="00F07464" w:rsidRDefault="00F07464"/>
          <w:p w14:paraId="5A0B18E0" w14:textId="5BAD546C" w:rsidR="00F07464" w:rsidRDefault="00F07464"/>
        </w:tc>
      </w:tr>
      <w:tr w:rsidR="005F720A" w:rsidRPr="007B550F" w14:paraId="5FDB701E" w14:textId="77777777" w:rsidTr="00F731E1">
        <w:tc>
          <w:tcPr>
            <w:tcW w:w="666" w:type="dxa"/>
            <w:shd w:val="clear" w:color="auto" w:fill="FFC000" w:themeFill="accent4"/>
          </w:tcPr>
          <w:p w14:paraId="5F2CF8CA" w14:textId="253007E9" w:rsidR="005F720A" w:rsidRPr="007B550F" w:rsidRDefault="005F720A" w:rsidP="005F720A">
            <w:pPr>
              <w:rPr>
                <w:b/>
                <w:bCs/>
                <w:sz w:val="24"/>
                <w:szCs w:val="24"/>
              </w:rPr>
            </w:pPr>
            <w:r w:rsidRPr="007B550F">
              <w:rPr>
                <w:b/>
                <w:bCs/>
                <w:sz w:val="24"/>
                <w:szCs w:val="24"/>
              </w:rPr>
              <w:t>No</w:t>
            </w:r>
          </w:p>
        </w:tc>
        <w:tc>
          <w:tcPr>
            <w:tcW w:w="5566" w:type="dxa"/>
            <w:shd w:val="clear" w:color="auto" w:fill="FFC000" w:themeFill="accent4"/>
          </w:tcPr>
          <w:p w14:paraId="5B5157E4" w14:textId="6B905C2E" w:rsidR="005F720A" w:rsidRPr="007B550F" w:rsidRDefault="005F720A" w:rsidP="005F720A">
            <w:pPr>
              <w:rPr>
                <w:b/>
                <w:bCs/>
                <w:sz w:val="24"/>
                <w:szCs w:val="24"/>
              </w:rPr>
            </w:pPr>
            <w:r w:rsidRPr="007B550F">
              <w:rPr>
                <w:b/>
                <w:bCs/>
                <w:sz w:val="24"/>
                <w:szCs w:val="24"/>
              </w:rPr>
              <w:t>Details</w:t>
            </w:r>
          </w:p>
        </w:tc>
        <w:tc>
          <w:tcPr>
            <w:tcW w:w="1284" w:type="dxa"/>
            <w:gridSpan w:val="2"/>
            <w:shd w:val="clear" w:color="auto" w:fill="FFC000" w:themeFill="accent4"/>
          </w:tcPr>
          <w:p w14:paraId="5AA59EFE" w14:textId="727ED413" w:rsidR="005F720A" w:rsidRPr="007B550F" w:rsidRDefault="005F720A" w:rsidP="005F720A">
            <w:pPr>
              <w:rPr>
                <w:b/>
                <w:bCs/>
                <w:sz w:val="24"/>
                <w:szCs w:val="24"/>
              </w:rPr>
            </w:pPr>
            <w:r w:rsidRPr="007B550F">
              <w:rPr>
                <w:b/>
                <w:bCs/>
                <w:sz w:val="24"/>
                <w:szCs w:val="24"/>
              </w:rPr>
              <w:t>Action</w:t>
            </w:r>
          </w:p>
        </w:tc>
        <w:tc>
          <w:tcPr>
            <w:tcW w:w="1500" w:type="dxa"/>
            <w:shd w:val="clear" w:color="auto" w:fill="FFC000" w:themeFill="accent4"/>
          </w:tcPr>
          <w:p w14:paraId="1ED155F6" w14:textId="46104FD4" w:rsidR="005F720A" w:rsidRPr="007B550F" w:rsidRDefault="005F720A" w:rsidP="005F720A">
            <w:pPr>
              <w:rPr>
                <w:b/>
                <w:bCs/>
                <w:sz w:val="24"/>
                <w:szCs w:val="24"/>
              </w:rPr>
            </w:pPr>
            <w:r w:rsidRPr="007B550F">
              <w:rPr>
                <w:b/>
                <w:bCs/>
                <w:sz w:val="24"/>
                <w:szCs w:val="24"/>
              </w:rPr>
              <w:t>Comment</w:t>
            </w:r>
          </w:p>
        </w:tc>
      </w:tr>
      <w:tr w:rsidR="0057454F" w14:paraId="48ED9CCB" w14:textId="77777777" w:rsidTr="0057454F">
        <w:tc>
          <w:tcPr>
            <w:tcW w:w="666" w:type="dxa"/>
            <w:shd w:val="clear" w:color="auto" w:fill="FFF2CC" w:themeFill="accent4" w:themeFillTint="33"/>
          </w:tcPr>
          <w:p w14:paraId="7936BE25" w14:textId="3A6A6812" w:rsidR="0057454F" w:rsidRPr="00C13D40" w:rsidRDefault="00DB3702" w:rsidP="00704043">
            <w:pPr>
              <w:jc w:val="center"/>
              <w:rPr>
                <w:b/>
                <w:bCs/>
                <w:sz w:val="24"/>
                <w:szCs w:val="24"/>
              </w:rPr>
            </w:pPr>
            <w:r w:rsidRPr="00C13D40">
              <w:rPr>
                <w:b/>
                <w:bCs/>
                <w:sz w:val="24"/>
                <w:szCs w:val="24"/>
              </w:rPr>
              <w:t>4</w:t>
            </w:r>
          </w:p>
        </w:tc>
        <w:tc>
          <w:tcPr>
            <w:tcW w:w="8350" w:type="dxa"/>
            <w:gridSpan w:val="4"/>
            <w:shd w:val="clear" w:color="auto" w:fill="FFF2CC" w:themeFill="accent4" w:themeFillTint="33"/>
          </w:tcPr>
          <w:p w14:paraId="7A02651A" w14:textId="30AD28BA" w:rsidR="0057454F" w:rsidRPr="00C13D40" w:rsidRDefault="00116738">
            <w:pPr>
              <w:rPr>
                <w:b/>
                <w:bCs/>
                <w:sz w:val="24"/>
                <w:szCs w:val="24"/>
              </w:rPr>
            </w:pPr>
            <w:r>
              <w:rPr>
                <w:b/>
                <w:bCs/>
                <w:sz w:val="24"/>
                <w:szCs w:val="24"/>
              </w:rPr>
              <w:t>Generation</w:t>
            </w:r>
          </w:p>
        </w:tc>
      </w:tr>
      <w:tr w:rsidR="00DB3702" w14:paraId="34FB3172" w14:textId="77777777" w:rsidTr="00863620">
        <w:tc>
          <w:tcPr>
            <w:tcW w:w="666" w:type="dxa"/>
            <w:tcBorders>
              <w:bottom w:val="single" w:sz="4" w:space="0" w:color="auto"/>
            </w:tcBorders>
          </w:tcPr>
          <w:p w14:paraId="2C709E68" w14:textId="5BD5DEAD" w:rsidR="009C3E7F" w:rsidRDefault="00116738" w:rsidP="00704043">
            <w:pPr>
              <w:jc w:val="center"/>
            </w:pPr>
            <w:r>
              <w:t>4.1</w:t>
            </w:r>
          </w:p>
          <w:p w14:paraId="16D17446" w14:textId="77777777" w:rsidR="009C3E7F" w:rsidRDefault="009C3E7F" w:rsidP="00704043">
            <w:pPr>
              <w:jc w:val="center"/>
            </w:pPr>
          </w:p>
          <w:p w14:paraId="7F9CF9E0" w14:textId="77777777" w:rsidR="009C3E7F" w:rsidRDefault="009C3E7F" w:rsidP="00704043">
            <w:pPr>
              <w:jc w:val="center"/>
            </w:pPr>
          </w:p>
          <w:p w14:paraId="43AD963C" w14:textId="77777777" w:rsidR="009C3E7F" w:rsidRDefault="009C3E7F" w:rsidP="00704043">
            <w:pPr>
              <w:jc w:val="center"/>
            </w:pPr>
          </w:p>
          <w:p w14:paraId="6412CAE1" w14:textId="77777777" w:rsidR="009C3E7F" w:rsidRDefault="009C3E7F" w:rsidP="00704043">
            <w:pPr>
              <w:jc w:val="center"/>
            </w:pPr>
          </w:p>
          <w:p w14:paraId="0D287E6C" w14:textId="77777777" w:rsidR="009C3E7F" w:rsidRDefault="009C3E7F" w:rsidP="00704043">
            <w:pPr>
              <w:jc w:val="center"/>
            </w:pPr>
          </w:p>
          <w:p w14:paraId="1EAA2CB9" w14:textId="45B3594B" w:rsidR="009C3E7F" w:rsidRDefault="009C3E7F" w:rsidP="00704043">
            <w:pPr>
              <w:jc w:val="center"/>
            </w:pPr>
          </w:p>
        </w:tc>
        <w:tc>
          <w:tcPr>
            <w:tcW w:w="5566" w:type="dxa"/>
            <w:tcBorders>
              <w:bottom w:val="single" w:sz="4" w:space="0" w:color="auto"/>
            </w:tcBorders>
          </w:tcPr>
          <w:p w14:paraId="76C59915" w14:textId="2D89C47A" w:rsidR="00116738" w:rsidRDefault="00773B40" w:rsidP="00116738">
            <w:r>
              <w:t>The p</w:t>
            </w:r>
            <w:r w:rsidR="00F731E1" w:rsidRPr="00773B40">
              <w:t xml:space="preserve">erformance </w:t>
            </w:r>
            <w:r>
              <w:t>r</w:t>
            </w:r>
            <w:r w:rsidR="00F731E1" w:rsidRPr="00773B40">
              <w:t>eport</w:t>
            </w:r>
            <w:r w:rsidR="00F731E1">
              <w:t xml:space="preserve"> </w:t>
            </w:r>
            <w:r>
              <w:t xml:space="preserve">was </w:t>
            </w:r>
            <w:r w:rsidR="00B9630E">
              <w:t xml:space="preserve">circulated by PGC.  </w:t>
            </w:r>
            <w:r w:rsidR="00116738">
              <w:t xml:space="preserve">  </w:t>
            </w:r>
            <w:r w:rsidR="00B9630E">
              <w:t>Slightly down but within range of what would be expected for November.  December figures on track given that we’re only halfway through the month.  Hopeful that we’ll achieve above</w:t>
            </w:r>
            <w:r w:rsidR="001C5528">
              <w:t xml:space="preserve"> an acceptable</w:t>
            </w:r>
            <w:r w:rsidR="00B9630E">
              <w:t xml:space="preserve"> 80%.  </w:t>
            </w:r>
          </w:p>
          <w:p w14:paraId="26900787" w14:textId="7E7D82A8" w:rsidR="00B9630E" w:rsidRDefault="00B9630E" w:rsidP="00116738"/>
          <w:p w14:paraId="01827713" w14:textId="42B817D2" w:rsidR="00116738" w:rsidRDefault="00B9630E" w:rsidP="009C3E7F">
            <w:r>
              <w:t xml:space="preserve">The </w:t>
            </w:r>
            <w:proofErr w:type="spellStart"/>
            <w:r>
              <w:t>FiT</w:t>
            </w:r>
            <w:proofErr w:type="spellEnd"/>
            <w:r>
              <w:t xml:space="preserve"> payment was received this week.</w:t>
            </w:r>
          </w:p>
        </w:tc>
        <w:tc>
          <w:tcPr>
            <w:tcW w:w="1284" w:type="dxa"/>
            <w:gridSpan w:val="2"/>
            <w:tcBorders>
              <w:bottom w:val="single" w:sz="4" w:space="0" w:color="auto"/>
            </w:tcBorders>
          </w:tcPr>
          <w:p w14:paraId="051EBA6B" w14:textId="20118988" w:rsidR="00116738" w:rsidRDefault="00116738" w:rsidP="001C5528">
            <w:r>
              <w:t>PGC</w:t>
            </w:r>
          </w:p>
        </w:tc>
        <w:tc>
          <w:tcPr>
            <w:tcW w:w="1500" w:type="dxa"/>
            <w:tcBorders>
              <w:bottom w:val="single" w:sz="4" w:space="0" w:color="auto"/>
            </w:tcBorders>
          </w:tcPr>
          <w:p w14:paraId="06E25C4A" w14:textId="778143C7" w:rsidR="00DB3702" w:rsidRDefault="00DB3702"/>
        </w:tc>
      </w:tr>
    </w:tbl>
    <w:p w14:paraId="5423D0A7" w14:textId="77777777" w:rsidR="00863620" w:rsidRDefault="00863620">
      <w:r>
        <w:br w:type="page"/>
      </w:r>
    </w:p>
    <w:tbl>
      <w:tblPr>
        <w:tblStyle w:val="TableGrid"/>
        <w:tblW w:w="0" w:type="auto"/>
        <w:tblLook w:val="04A0" w:firstRow="1" w:lastRow="0" w:firstColumn="1" w:lastColumn="0" w:noHBand="0" w:noVBand="1"/>
      </w:tblPr>
      <w:tblGrid>
        <w:gridCol w:w="666"/>
        <w:gridCol w:w="5566"/>
        <w:gridCol w:w="1284"/>
        <w:gridCol w:w="1500"/>
      </w:tblGrid>
      <w:tr w:rsidR="009C3E7F" w14:paraId="1C7A8758" w14:textId="77777777" w:rsidTr="00863620">
        <w:tc>
          <w:tcPr>
            <w:tcW w:w="666" w:type="dxa"/>
            <w:tcBorders>
              <w:bottom w:val="single" w:sz="4" w:space="0" w:color="auto"/>
            </w:tcBorders>
            <w:shd w:val="clear" w:color="auto" w:fill="FFC000"/>
          </w:tcPr>
          <w:p w14:paraId="67C14447" w14:textId="5DE27809" w:rsidR="009C3E7F" w:rsidRPr="009C3E7F" w:rsidRDefault="009C3E7F" w:rsidP="00704043">
            <w:pPr>
              <w:jc w:val="center"/>
              <w:rPr>
                <w:b/>
                <w:bCs/>
                <w:sz w:val="24"/>
                <w:szCs w:val="24"/>
              </w:rPr>
            </w:pPr>
            <w:r w:rsidRPr="009C3E7F">
              <w:rPr>
                <w:b/>
                <w:bCs/>
                <w:sz w:val="24"/>
                <w:szCs w:val="24"/>
              </w:rPr>
              <w:lastRenderedPageBreak/>
              <w:t>No</w:t>
            </w:r>
          </w:p>
        </w:tc>
        <w:tc>
          <w:tcPr>
            <w:tcW w:w="5566" w:type="dxa"/>
            <w:tcBorders>
              <w:bottom w:val="single" w:sz="4" w:space="0" w:color="auto"/>
            </w:tcBorders>
            <w:shd w:val="clear" w:color="auto" w:fill="FFC000"/>
          </w:tcPr>
          <w:p w14:paraId="7C6544BC" w14:textId="23C825A6" w:rsidR="009C3E7F" w:rsidRPr="009C3E7F" w:rsidRDefault="009C3E7F" w:rsidP="00116738">
            <w:pPr>
              <w:rPr>
                <w:b/>
                <w:bCs/>
                <w:sz w:val="24"/>
                <w:szCs w:val="24"/>
              </w:rPr>
            </w:pPr>
            <w:r w:rsidRPr="009C3E7F">
              <w:rPr>
                <w:b/>
                <w:bCs/>
                <w:sz w:val="24"/>
                <w:szCs w:val="24"/>
              </w:rPr>
              <w:t>Details</w:t>
            </w:r>
          </w:p>
        </w:tc>
        <w:tc>
          <w:tcPr>
            <w:tcW w:w="1284" w:type="dxa"/>
            <w:tcBorders>
              <w:bottom w:val="single" w:sz="4" w:space="0" w:color="auto"/>
            </w:tcBorders>
            <w:shd w:val="clear" w:color="auto" w:fill="FFC000"/>
          </w:tcPr>
          <w:p w14:paraId="540AE48B" w14:textId="0C9CFCC1" w:rsidR="009C3E7F" w:rsidRPr="009C3E7F" w:rsidRDefault="009C3E7F" w:rsidP="00116738">
            <w:pPr>
              <w:rPr>
                <w:b/>
                <w:bCs/>
                <w:sz w:val="24"/>
                <w:szCs w:val="24"/>
              </w:rPr>
            </w:pPr>
            <w:r>
              <w:rPr>
                <w:b/>
                <w:bCs/>
                <w:sz w:val="24"/>
                <w:szCs w:val="24"/>
              </w:rPr>
              <w:t>Action</w:t>
            </w:r>
          </w:p>
        </w:tc>
        <w:tc>
          <w:tcPr>
            <w:tcW w:w="1500" w:type="dxa"/>
            <w:tcBorders>
              <w:bottom w:val="single" w:sz="4" w:space="0" w:color="auto"/>
            </w:tcBorders>
            <w:shd w:val="clear" w:color="auto" w:fill="FFC000"/>
          </w:tcPr>
          <w:p w14:paraId="40EE9943" w14:textId="1E11EB58" w:rsidR="009C3E7F" w:rsidRPr="009C3E7F" w:rsidRDefault="009C3E7F">
            <w:pPr>
              <w:rPr>
                <w:b/>
                <w:bCs/>
                <w:sz w:val="24"/>
                <w:szCs w:val="24"/>
              </w:rPr>
            </w:pPr>
            <w:r>
              <w:rPr>
                <w:b/>
                <w:bCs/>
                <w:sz w:val="24"/>
                <w:szCs w:val="24"/>
              </w:rPr>
              <w:t>Comment</w:t>
            </w:r>
          </w:p>
        </w:tc>
      </w:tr>
      <w:tr w:rsidR="003C760C" w14:paraId="6E45A6CB" w14:textId="77777777" w:rsidTr="00106005">
        <w:tc>
          <w:tcPr>
            <w:tcW w:w="666" w:type="dxa"/>
            <w:shd w:val="clear" w:color="auto" w:fill="FFF2CC" w:themeFill="accent4" w:themeFillTint="33"/>
          </w:tcPr>
          <w:p w14:paraId="133EF997" w14:textId="307E45BE" w:rsidR="003C760C" w:rsidRPr="009C3E7F" w:rsidRDefault="003C760C" w:rsidP="00704043">
            <w:pPr>
              <w:jc w:val="center"/>
              <w:rPr>
                <w:b/>
                <w:bCs/>
                <w:sz w:val="24"/>
                <w:szCs w:val="24"/>
              </w:rPr>
            </w:pPr>
            <w:r>
              <w:rPr>
                <w:b/>
                <w:bCs/>
                <w:sz w:val="24"/>
                <w:szCs w:val="24"/>
              </w:rPr>
              <w:t>5</w:t>
            </w:r>
          </w:p>
        </w:tc>
        <w:tc>
          <w:tcPr>
            <w:tcW w:w="8350" w:type="dxa"/>
            <w:gridSpan w:val="3"/>
            <w:shd w:val="clear" w:color="auto" w:fill="FFF2CC" w:themeFill="accent4" w:themeFillTint="33"/>
          </w:tcPr>
          <w:p w14:paraId="0455E52D" w14:textId="7ACEB6C4" w:rsidR="003C760C" w:rsidRPr="009C3E7F" w:rsidRDefault="003C760C">
            <w:pPr>
              <w:rPr>
                <w:b/>
                <w:bCs/>
                <w:sz w:val="24"/>
                <w:szCs w:val="24"/>
              </w:rPr>
            </w:pPr>
            <w:r w:rsidRPr="009C3E7F">
              <w:rPr>
                <w:b/>
                <w:bCs/>
                <w:sz w:val="24"/>
                <w:szCs w:val="24"/>
              </w:rPr>
              <w:t>Operating Update</w:t>
            </w:r>
          </w:p>
        </w:tc>
      </w:tr>
      <w:tr w:rsidR="009C3E7F" w14:paraId="1CA1A5DD" w14:textId="77777777" w:rsidTr="00F731E1">
        <w:tc>
          <w:tcPr>
            <w:tcW w:w="666" w:type="dxa"/>
          </w:tcPr>
          <w:p w14:paraId="2A7F51E9" w14:textId="2B6AB2E3" w:rsidR="009C3E7F" w:rsidRDefault="009C3E7F" w:rsidP="00704043">
            <w:pPr>
              <w:jc w:val="center"/>
            </w:pPr>
            <w:r>
              <w:t>5.1</w:t>
            </w:r>
          </w:p>
        </w:tc>
        <w:tc>
          <w:tcPr>
            <w:tcW w:w="5566" w:type="dxa"/>
          </w:tcPr>
          <w:p w14:paraId="01485536" w14:textId="66CE0CFA" w:rsidR="009B3756" w:rsidRDefault="009C3E7F" w:rsidP="00116738">
            <w:r w:rsidRPr="009C3E7F">
              <w:t xml:space="preserve">SO </w:t>
            </w:r>
            <w:r>
              <w:t xml:space="preserve">together with Gilkes </w:t>
            </w:r>
            <w:r w:rsidRPr="009C3E7F">
              <w:t xml:space="preserve">conducted </w:t>
            </w:r>
            <w:r w:rsidR="001C5528">
              <w:t xml:space="preserve">the </w:t>
            </w:r>
            <w:r w:rsidRPr="009C3E7F">
              <w:t>annual inspection on 23</w:t>
            </w:r>
            <w:r w:rsidRPr="009C3E7F">
              <w:rPr>
                <w:vertAlign w:val="superscript"/>
              </w:rPr>
              <w:t>rd</w:t>
            </w:r>
            <w:r w:rsidRPr="009C3E7F">
              <w:t xml:space="preserve"> November.</w:t>
            </w:r>
            <w:r>
              <w:t xml:space="preserve">  All in order except for a slight concern about a crack</w:t>
            </w:r>
            <w:r w:rsidR="001C5528">
              <w:t xml:space="preserve"> (</w:t>
            </w:r>
            <w:r>
              <w:t>or scratch</w:t>
            </w:r>
            <w:r w:rsidR="001C5528">
              <w:t>?)</w:t>
            </w:r>
            <w:r>
              <w:t xml:space="preserve"> on </w:t>
            </w:r>
            <w:r w:rsidR="00773B40">
              <w:t>the</w:t>
            </w:r>
            <w:r>
              <w:t xml:space="preserve"> runner.  This is causing more concern to SO, </w:t>
            </w:r>
            <w:proofErr w:type="spellStart"/>
            <w:r>
              <w:t>Loc</w:t>
            </w:r>
            <w:r w:rsidR="009B3756">
              <w:t>o</w:t>
            </w:r>
            <w:r>
              <w:t>gen</w:t>
            </w:r>
            <w:proofErr w:type="spellEnd"/>
            <w:r>
              <w:t xml:space="preserve"> and Hugh Campbell than to Gilkes.  </w:t>
            </w:r>
            <w:r w:rsidR="009B3756">
              <w:t xml:space="preserve">Gilkes </w:t>
            </w:r>
            <w:r>
              <w:t xml:space="preserve">will however attend </w:t>
            </w:r>
            <w:r w:rsidR="001C5528">
              <w:t>site in</w:t>
            </w:r>
            <w:r>
              <w:t xml:space="preserve"> Ullapool in February</w:t>
            </w:r>
            <w:r w:rsidR="009B3756">
              <w:t xml:space="preserve"> (</w:t>
            </w:r>
            <w:r w:rsidR="001C5528">
              <w:t xml:space="preserve">at </w:t>
            </w:r>
            <w:r w:rsidR="009B3756">
              <w:t>no charge)</w:t>
            </w:r>
            <w:r>
              <w:t xml:space="preserve"> to re-inspect.  They hope to grind/polish the runner in situ which will hopefully not affect its balance.  </w:t>
            </w:r>
            <w:proofErr w:type="gramStart"/>
            <w:r>
              <w:t>In the event that</w:t>
            </w:r>
            <w:proofErr w:type="gramEnd"/>
            <w:r>
              <w:t xml:space="preserve"> it has to be repaired, the runner will have to go to Kendal</w:t>
            </w:r>
            <w:r w:rsidR="009B3756">
              <w:t>.</w:t>
            </w:r>
          </w:p>
          <w:p w14:paraId="5A5D5120" w14:textId="77777777" w:rsidR="009B3756" w:rsidRDefault="009B3756" w:rsidP="00116738"/>
          <w:p w14:paraId="48A233AF" w14:textId="43A1E522" w:rsidR="009C3E7F" w:rsidRDefault="009B3756" w:rsidP="00116738">
            <w:r>
              <w:t>SO will draft a statement and pass to AK in order that</w:t>
            </w:r>
            <w:r w:rsidR="001C5528">
              <w:t xml:space="preserve"> the</w:t>
            </w:r>
            <w:r>
              <w:t xml:space="preserve"> insurers can be </w:t>
            </w:r>
            <w:r w:rsidR="001C5528">
              <w:t>informed</w:t>
            </w:r>
            <w:r>
              <w:t xml:space="preserve">.  </w:t>
            </w:r>
            <w:r w:rsidR="009C3E7F">
              <w:t xml:space="preserve"> </w:t>
            </w:r>
          </w:p>
          <w:p w14:paraId="71761AED" w14:textId="34E0104F" w:rsidR="009C3E7F" w:rsidRPr="00F731E1" w:rsidRDefault="009B3756" w:rsidP="001C5528">
            <w:pPr>
              <w:rPr>
                <w:u w:val="single"/>
              </w:rPr>
            </w:pPr>
            <w:r>
              <w:t xml:space="preserve">If there’s a fault, LCR will argue that it’s a latent defect as it would be necessary to claim for loss of income at arguably an optimal performing time of the year.  </w:t>
            </w:r>
          </w:p>
        </w:tc>
        <w:tc>
          <w:tcPr>
            <w:tcW w:w="1284" w:type="dxa"/>
          </w:tcPr>
          <w:p w14:paraId="7B26859F" w14:textId="77777777" w:rsidR="009C3E7F" w:rsidRDefault="009C3E7F" w:rsidP="00116738"/>
          <w:p w14:paraId="4A0C3838" w14:textId="77777777" w:rsidR="009B3756" w:rsidRDefault="009B3756" w:rsidP="00116738"/>
          <w:p w14:paraId="0C539F34" w14:textId="77777777" w:rsidR="009B3756" w:rsidRDefault="009B3756" w:rsidP="00116738"/>
          <w:p w14:paraId="07E99DB6" w14:textId="77777777" w:rsidR="009B3756" w:rsidRDefault="009B3756" w:rsidP="00116738"/>
          <w:p w14:paraId="3A6D0D76" w14:textId="77777777" w:rsidR="009B3756" w:rsidRDefault="009B3756" w:rsidP="00116738"/>
          <w:p w14:paraId="0FA53117" w14:textId="77777777" w:rsidR="009B3756" w:rsidRDefault="009B3756" w:rsidP="00116738"/>
          <w:p w14:paraId="2120F5CC" w14:textId="77777777" w:rsidR="009B3756" w:rsidRDefault="009B3756" w:rsidP="00116738"/>
          <w:p w14:paraId="0A33AAA6" w14:textId="77777777" w:rsidR="009B3756" w:rsidRDefault="009B3756" w:rsidP="00116738"/>
          <w:p w14:paraId="094564DE" w14:textId="77777777" w:rsidR="009B3756" w:rsidRDefault="009B3756" w:rsidP="00116738"/>
          <w:p w14:paraId="69B0D2A4" w14:textId="77777777" w:rsidR="009B3756" w:rsidRDefault="009B3756" w:rsidP="00116738"/>
          <w:p w14:paraId="5AF3FAA5" w14:textId="0634591A" w:rsidR="009B3756" w:rsidRDefault="009B3756" w:rsidP="00116738">
            <w:r>
              <w:t>SO-AK</w:t>
            </w:r>
          </w:p>
        </w:tc>
        <w:tc>
          <w:tcPr>
            <w:tcW w:w="1500" w:type="dxa"/>
          </w:tcPr>
          <w:p w14:paraId="5CE37238" w14:textId="14F0F411" w:rsidR="009C3E7F" w:rsidRDefault="001C5528">
            <w:r>
              <w:t>February 2021</w:t>
            </w:r>
          </w:p>
        </w:tc>
      </w:tr>
      <w:tr w:rsidR="00C13D40" w14:paraId="537CCCB8" w14:textId="77777777" w:rsidTr="00F731E1">
        <w:tc>
          <w:tcPr>
            <w:tcW w:w="666" w:type="dxa"/>
            <w:shd w:val="clear" w:color="auto" w:fill="FFC000" w:themeFill="accent4"/>
          </w:tcPr>
          <w:p w14:paraId="49ABCDA0" w14:textId="77777777" w:rsidR="00C13D40" w:rsidRPr="00D67E27" w:rsidRDefault="00C13D40" w:rsidP="00867845">
            <w:pPr>
              <w:jc w:val="center"/>
              <w:rPr>
                <w:b/>
                <w:bCs/>
                <w:sz w:val="24"/>
                <w:szCs w:val="24"/>
              </w:rPr>
            </w:pPr>
            <w:r w:rsidRPr="00D67E27">
              <w:rPr>
                <w:b/>
                <w:bCs/>
                <w:sz w:val="24"/>
                <w:szCs w:val="24"/>
              </w:rPr>
              <w:t>No</w:t>
            </w:r>
          </w:p>
        </w:tc>
        <w:tc>
          <w:tcPr>
            <w:tcW w:w="5566" w:type="dxa"/>
            <w:shd w:val="clear" w:color="auto" w:fill="FFC000" w:themeFill="accent4"/>
          </w:tcPr>
          <w:p w14:paraId="5EFC4A1D" w14:textId="77777777" w:rsidR="00C13D40" w:rsidRPr="00D67E27" w:rsidRDefault="00C13D40" w:rsidP="00867845">
            <w:pPr>
              <w:rPr>
                <w:b/>
                <w:bCs/>
                <w:sz w:val="24"/>
                <w:szCs w:val="24"/>
              </w:rPr>
            </w:pPr>
            <w:r w:rsidRPr="00D67E27">
              <w:rPr>
                <w:b/>
                <w:bCs/>
                <w:sz w:val="24"/>
                <w:szCs w:val="24"/>
              </w:rPr>
              <w:t>Details</w:t>
            </w:r>
          </w:p>
        </w:tc>
        <w:tc>
          <w:tcPr>
            <w:tcW w:w="1284" w:type="dxa"/>
            <w:shd w:val="clear" w:color="auto" w:fill="FFC000" w:themeFill="accent4"/>
          </w:tcPr>
          <w:p w14:paraId="0FB43652" w14:textId="77777777" w:rsidR="00C13D40" w:rsidRPr="00D67E27" w:rsidRDefault="00C13D40" w:rsidP="00867845">
            <w:pPr>
              <w:rPr>
                <w:b/>
                <w:bCs/>
                <w:sz w:val="24"/>
                <w:szCs w:val="24"/>
              </w:rPr>
            </w:pPr>
            <w:r w:rsidRPr="00D67E27">
              <w:rPr>
                <w:b/>
                <w:bCs/>
                <w:sz w:val="24"/>
                <w:szCs w:val="24"/>
              </w:rPr>
              <w:t>Action</w:t>
            </w:r>
          </w:p>
        </w:tc>
        <w:tc>
          <w:tcPr>
            <w:tcW w:w="1500" w:type="dxa"/>
            <w:shd w:val="clear" w:color="auto" w:fill="FFC000" w:themeFill="accent4"/>
          </w:tcPr>
          <w:p w14:paraId="0F949DF7" w14:textId="77777777" w:rsidR="00C13D40" w:rsidRPr="00D67E27" w:rsidRDefault="00C13D40" w:rsidP="00867845">
            <w:pPr>
              <w:rPr>
                <w:b/>
                <w:bCs/>
                <w:sz w:val="24"/>
                <w:szCs w:val="24"/>
              </w:rPr>
            </w:pPr>
            <w:r w:rsidRPr="00D67E27">
              <w:rPr>
                <w:b/>
                <w:bCs/>
                <w:sz w:val="24"/>
                <w:szCs w:val="24"/>
              </w:rPr>
              <w:t>Comment</w:t>
            </w:r>
          </w:p>
        </w:tc>
      </w:tr>
      <w:tr w:rsidR="00C13D40" w14:paraId="7C3DB67E" w14:textId="77777777" w:rsidTr="00867845">
        <w:tc>
          <w:tcPr>
            <w:tcW w:w="666" w:type="dxa"/>
            <w:shd w:val="clear" w:color="auto" w:fill="FFF2CC" w:themeFill="accent4" w:themeFillTint="33"/>
          </w:tcPr>
          <w:p w14:paraId="75C68D53" w14:textId="0057C8D1" w:rsidR="00C13D40" w:rsidRPr="00C13D40" w:rsidRDefault="009C3E7F" w:rsidP="00867845">
            <w:pPr>
              <w:jc w:val="center"/>
              <w:rPr>
                <w:b/>
                <w:bCs/>
                <w:sz w:val="24"/>
                <w:szCs w:val="24"/>
              </w:rPr>
            </w:pPr>
            <w:r>
              <w:rPr>
                <w:b/>
                <w:bCs/>
                <w:sz w:val="24"/>
                <w:szCs w:val="24"/>
              </w:rPr>
              <w:t>6</w:t>
            </w:r>
          </w:p>
        </w:tc>
        <w:tc>
          <w:tcPr>
            <w:tcW w:w="8350" w:type="dxa"/>
            <w:gridSpan w:val="3"/>
            <w:shd w:val="clear" w:color="auto" w:fill="FFF2CC" w:themeFill="accent4" w:themeFillTint="33"/>
          </w:tcPr>
          <w:p w14:paraId="5D28AB3A" w14:textId="24A15CF6" w:rsidR="00C13D40" w:rsidRPr="00C13D40" w:rsidRDefault="00116738" w:rsidP="00867845">
            <w:pPr>
              <w:rPr>
                <w:b/>
                <w:bCs/>
                <w:sz w:val="24"/>
                <w:szCs w:val="24"/>
              </w:rPr>
            </w:pPr>
            <w:r w:rsidRPr="00C13D40">
              <w:rPr>
                <w:b/>
                <w:bCs/>
                <w:sz w:val="24"/>
                <w:szCs w:val="24"/>
              </w:rPr>
              <w:t>Community Benefit Fund</w:t>
            </w:r>
          </w:p>
        </w:tc>
      </w:tr>
      <w:tr w:rsidR="00C13D40" w14:paraId="0075B10F" w14:textId="77777777" w:rsidTr="00F731E1">
        <w:tc>
          <w:tcPr>
            <w:tcW w:w="666" w:type="dxa"/>
          </w:tcPr>
          <w:p w14:paraId="395DDE7D" w14:textId="09C5BFB8" w:rsidR="00116738" w:rsidRDefault="009C3E7F" w:rsidP="001C5528">
            <w:pPr>
              <w:jc w:val="center"/>
            </w:pPr>
            <w:r>
              <w:t>6</w:t>
            </w:r>
            <w:r w:rsidR="00116738">
              <w:t>.1</w:t>
            </w:r>
          </w:p>
        </w:tc>
        <w:tc>
          <w:tcPr>
            <w:tcW w:w="5566" w:type="dxa"/>
          </w:tcPr>
          <w:p w14:paraId="63A60951" w14:textId="194337E4" w:rsidR="00116738" w:rsidRDefault="00B9630E" w:rsidP="00773B40">
            <w:r>
              <w:t xml:space="preserve">Still some work to be carried out on MoU. </w:t>
            </w:r>
          </w:p>
        </w:tc>
        <w:tc>
          <w:tcPr>
            <w:tcW w:w="1284" w:type="dxa"/>
          </w:tcPr>
          <w:p w14:paraId="73C05D3C" w14:textId="641C86B9" w:rsidR="00665C75" w:rsidRDefault="00116738" w:rsidP="00867845">
            <w:r>
              <w:t>PGC</w:t>
            </w:r>
          </w:p>
        </w:tc>
        <w:tc>
          <w:tcPr>
            <w:tcW w:w="1500" w:type="dxa"/>
          </w:tcPr>
          <w:p w14:paraId="35C5CDD2" w14:textId="582751FD" w:rsidR="00C13D40" w:rsidRDefault="00116738" w:rsidP="00867845">
            <w:r>
              <w:t>Ongoing</w:t>
            </w:r>
          </w:p>
        </w:tc>
      </w:tr>
      <w:tr w:rsidR="00116738" w14:paraId="6690E9FE" w14:textId="77777777" w:rsidTr="00F731E1">
        <w:tc>
          <w:tcPr>
            <w:tcW w:w="666" w:type="dxa"/>
            <w:shd w:val="clear" w:color="auto" w:fill="FFC000" w:themeFill="accent4"/>
          </w:tcPr>
          <w:p w14:paraId="1F3A7684" w14:textId="17867700" w:rsidR="00116738" w:rsidRDefault="00116738" w:rsidP="00867845">
            <w:pPr>
              <w:jc w:val="center"/>
            </w:pPr>
            <w:r w:rsidRPr="00D67E27">
              <w:rPr>
                <w:b/>
                <w:bCs/>
                <w:sz w:val="24"/>
                <w:szCs w:val="24"/>
              </w:rPr>
              <w:t>No</w:t>
            </w:r>
          </w:p>
        </w:tc>
        <w:tc>
          <w:tcPr>
            <w:tcW w:w="5566" w:type="dxa"/>
            <w:shd w:val="clear" w:color="auto" w:fill="FFC000" w:themeFill="accent4"/>
          </w:tcPr>
          <w:p w14:paraId="20E16AE4" w14:textId="69F7C678" w:rsidR="00116738" w:rsidRDefault="00116738" w:rsidP="00867845">
            <w:r w:rsidRPr="00D67E27">
              <w:rPr>
                <w:b/>
                <w:bCs/>
                <w:sz w:val="24"/>
                <w:szCs w:val="24"/>
              </w:rPr>
              <w:t>Details</w:t>
            </w:r>
          </w:p>
        </w:tc>
        <w:tc>
          <w:tcPr>
            <w:tcW w:w="1284" w:type="dxa"/>
            <w:shd w:val="clear" w:color="auto" w:fill="FFC000" w:themeFill="accent4"/>
          </w:tcPr>
          <w:p w14:paraId="02CE6481" w14:textId="2EE1D5FC" w:rsidR="00116738" w:rsidRDefault="00116738" w:rsidP="00867845">
            <w:r w:rsidRPr="00D67E27">
              <w:rPr>
                <w:b/>
                <w:bCs/>
                <w:sz w:val="24"/>
                <w:szCs w:val="24"/>
              </w:rPr>
              <w:t>Action</w:t>
            </w:r>
          </w:p>
        </w:tc>
        <w:tc>
          <w:tcPr>
            <w:tcW w:w="1500" w:type="dxa"/>
            <w:shd w:val="clear" w:color="auto" w:fill="FFC000" w:themeFill="accent4"/>
          </w:tcPr>
          <w:p w14:paraId="42F25AC4" w14:textId="044DCE3C" w:rsidR="00116738" w:rsidRDefault="00116738" w:rsidP="00867845">
            <w:r w:rsidRPr="00D67E27">
              <w:rPr>
                <w:b/>
                <w:bCs/>
                <w:sz w:val="24"/>
                <w:szCs w:val="24"/>
              </w:rPr>
              <w:t>Comment</w:t>
            </w:r>
          </w:p>
        </w:tc>
      </w:tr>
      <w:tr w:rsidR="00116738" w14:paraId="75721D1D" w14:textId="77777777" w:rsidTr="00116738">
        <w:tc>
          <w:tcPr>
            <w:tcW w:w="666" w:type="dxa"/>
            <w:shd w:val="clear" w:color="auto" w:fill="FFF2CC" w:themeFill="accent4" w:themeFillTint="33"/>
          </w:tcPr>
          <w:p w14:paraId="00D2FCF1" w14:textId="58F59135" w:rsidR="00116738" w:rsidRDefault="009C3E7F" w:rsidP="00867845">
            <w:pPr>
              <w:jc w:val="center"/>
            </w:pPr>
            <w:r>
              <w:rPr>
                <w:b/>
                <w:bCs/>
                <w:sz w:val="24"/>
                <w:szCs w:val="24"/>
              </w:rPr>
              <w:t>7</w:t>
            </w:r>
          </w:p>
        </w:tc>
        <w:tc>
          <w:tcPr>
            <w:tcW w:w="8350" w:type="dxa"/>
            <w:gridSpan w:val="3"/>
            <w:shd w:val="clear" w:color="auto" w:fill="FFF2CC" w:themeFill="accent4" w:themeFillTint="33"/>
          </w:tcPr>
          <w:p w14:paraId="36339F46" w14:textId="6D80C3BE" w:rsidR="00116738" w:rsidRDefault="00116738" w:rsidP="00867845">
            <w:r>
              <w:rPr>
                <w:b/>
                <w:bCs/>
                <w:sz w:val="24"/>
                <w:szCs w:val="24"/>
              </w:rPr>
              <w:t>Lease Update / Hydro Land Purchase</w:t>
            </w:r>
          </w:p>
        </w:tc>
      </w:tr>
      <w:tr w:rsidR="00116738" w14:paraId="4E37F2BB" w14:textId="77777777" w:rsidTr="00F731E1">
        <w:tc>
          <w:tcPr>
            <w:tcW w:w="666" w:type="dxa"/>
          </w:tcPr>
          <w:p w14:paraId="7A7B3577" w14:textId="5FA6D3D5" w:rsidR="00116738" w:rsidRDefault="009C3E7F" w:rsidP="00116738">
            <w:pPr>
              <w:jc w:val="center"/>
            </w:pPr>
            <w:r>
              <w:t>7</w:t>
            </w:r>
            <w:r w:rsidR="00116738">
              <w:t>.1</w:t>
            </w:r>
          </w:p>
          <w:p w14:paraId="3550AC1F" w14:textId="77777777" w:rsidR="00EF4921" w:rsidRDefault="00EF4921" w:rsidP="00116738">
            <w:pPr>
              <w:jc w:val="center"/>
            </w:pPr>
          </w:p>
          <w:p w14:paraId="49E936FC" w14:textId="77777777" w:rsidR="00EF4921" w:rsidRDefault="00EF4921" w:rsidP="00116738">
            <w:pPr>
              <w:jc w:val="center"/>
            </w:pPr>
          </w:p>
          <w:p w14:paraId="0132FAB5" w14:textId="77777777" w:rsidR="00EF4921" w:rsidRDefault="00EF4921" w:rsidP="00116738">
            <w:pPr>
              <w:jc w:val="center"/>
            </w:pPr>
          </w:p>
          <w:p w14:paraId="7A3B6854" w14:textId="77777777" w:rsidR="00EF4921" w:rsidRDefault="00EF4921" w:rsidP="00116738">
            <w:pPr>
              <w:jc w:val="center"/>
            </w:pPr>
          </w:p>
          <w:p w14:paraId="2CBE53B6" w14:textId="77777777" w:rsidR="00EF4921" w:rsidRDefault="00EF4921" w:rsidP="00116738">
            <w:pPr>
              <w:jc w:val="center"/>
            </w:pPr>
          </w:p>
          <w:p w14:paraId="7C4936E0" w14:textId="77777777" w:rsidR="00EF4921" w:rsidRDefault="00EF4921" w:rsidP="00116738">
            <w:pPr>
              <w:jc w:val="center"/>
            </w:pPr>
          </w:p>
          <w:p w14:paraId="4F6903E5" w14:textId="77777777" w:rsidR="00EF4921" w:rsidRDefault="00EF4921" w:rsidP="00116738">
            <w:pPr>
              <w:jc w:val="center"/>
            </w:pPr>
          </w:p>
          <w:p w14:paraId="1C0E7E1F" w14:textId="77777777" w:rsidR="00EF4921" w:rsidRDefault="00EF4921" w:rsidP="00116738">
            <w:pPr>
              <w:jc w:val="center"/>
            </w:pPr>
          </w:p>
          <w:p w14:paraId="401268A7" w14:textId="77777777" w:rsidR="00EF4921" w:rsidRDefault="00EF4921" w:rsidP="00116738">
            <w:pPr>
              <w:jc w:val="center"/>
            </w:pPr>
          </w:p>
          <w:p w14:paraId="12086FCD" w14:textId="77777777" w:rsidR="00EF4921" w:rsidRDefault="00EF4921" w:rsidP="00116738">
            <w:pPr>
              <w:jc w:val="center"/>
            </w:pPr>
          </w:p>
          <w:p w14:paraId="2153EBF7" w14:textId="77777777" w:rsidR="00EF4921" w:rsidRDefault="00EF4921" w:rsidP="00116738">
            <w:pPr>
              <w:jc w:val="center"/>
            </w:pPr>
          </w:p>
          <w:p w14:paraId="55DE10D1" w14:textId="77777777" w:rsidR="00EF4921" w:rsidRDefault="00EF4921" w:rsidP="00116738">
            <w:pPr>
              <w:jc w:val="center"/>
            </w:pPr>
          </w:p>
          <w:p w14:paraId="42E45B3C" w14:textId="18A8430F" w:rsidR="006F49A0" w:rsidRDefault="00EC35D3" w:rsidP="00116738">
            <w:pPr>
              <w:jc w:val="center"/>
            </w:pPr>
            <w:r>
              <w:t>7</w:t>
            </w:r>
            <w:r w:rsidR="00EF4921">
              <w:t>.2</w:t>
            </w:r>
          </w:p>
          <w:p w14:paraId="31398FBC" w14:textId="77777777" w:rsidR="006F49A0" w:rsidRDefault="006F49A0" w:rsidP="00116738">
            <w:pPr>
              <w:jc w:val="center"/>
            </w:pPr>
          </w:p>
          <w:p w14:paraId="5B402BB3" w14:textId="77777777" w:rsidR="00D3294D" w:rsidRDefault="00D3294D" w:rsidP="00116738">
            <w:pPr>
              <w:jc w:val="center"/>
            </w:pPr>
          </w:p>
          <w:p w14:paraId="025CE155" w14:textId="3D5EBFFB" w:rsidR="006F49A0" w:rsidRDefault="006F49A0" w:rsidP="00116738">
            <w:pPr>
              <w:jc w:val="center"/>
            </w:pPr>
          </w:p>
        </w:tc>
        <w:tc>
          <w:tcPr>
            <w:tcW w:w="5566" w:type="dxa"/>
          </w:tcPr>
          <w:p w14:paraId="1FF4EC54" w14:textId="18D49E26" w:rsidR="00341E90" w:rsidRDefault="00EC35D3" w:rsidP="00116738">
            <w:r>
              <w:t xml:space="preserve">AK and RG </w:t>
            </w:r>
            <w:r w:rsidR="001C5528">
              <w:t xml:space="preserve">finally got to </w:t>
            </w:r>
            <w:r>
              <w:t>sign the lease.  It is now lodged with the Registers of Scotland</w:t>
            </w:r>
            <w:r w:rsidR="00773B40">
              <w:t>;</w:t>
            </w:r>
            <w:r>
              <w:t xml:space="preserve"> Harper MacLeod and Joe Duncan have matters in hand.  </w:t>
            </w:r>
          </w:p>
          <w:p w14:paraId="1162FADF" w14:textId="1D3EF2AA" w:rsidR="00341E90" w:rsidRDefault="00341E90" w:rsidP="00116738"/>
          <w:p w14:paraId="387277AB" w14:textId="013435AE" w:rsidR="006F49A0" w:rsidRDefault="00341E90" w:rsidP="00EC35D3">
            <w:r>
              <w:t xml:space="preserve">RG </w:t>
            </w:r>
            <w:r w:rsidR="00EC35D3">
              <w:t xml:space="preserve">made some enquiries with Community Land Scotland.  They have never heard of problems such as LCR has encountered but are willing to </w:t>
            </w:r>
            <w:proofErr w:type="gramStart"/>
            <w:r w:rsidR="00EC35D3">
              <w:t>look into</w:t>
            </w:r>
            <w:proofErr w:type="gramEnd"/>
            <w:r w:rsidR="00EC35D3">
              <w:t xml:space="preserve"> matters</w:t>
            </w:r>
            <w:r w:rsidR="001C5528">
              <w:t xml:space="preserve"> on LCR’s behalf</w:t>
            </w:r>
            <w:r w:rsidR="00EC35D3">
              <w:t xml:space="preserve">.  If LCR would like to take out associate membership with CLS for a small annual fee, it would give access to a range of people who have been through the purchase experience.  This in turn could help inform </w:t>
            </w:r>
            <w:r w:rsidR="001C5528">
              <w:t>LCR’s</w:t>
            </w:r>
            <w:r w:rsidR="00EC35D3">
              <w:t xml:space="preserve"> decision to take proceedings further.  There’s no urgency with this. </w:t>
            </w:r>
          </w:p>
          <w:p w14:paraId="26BD8255" w14:textId="77777777" w:rsidR="00EF4921" w:rsidRDefault="00EF4921" w:rsidP="00116738"/>
          <w:p w14:paraId="5FC98BB5" w14:textId="7FED1533" w:rsidR="006F49A0" w:rsidRPr="00EC35D3" w:rsidRDefault="006F49A0" w:rsidP="00116738">
            <w:pPr>
              <w:rPr>
                <w:b/>
                <w:bCs/>
                <w:u w:val="single"/>
              </w:rPr>
            </w:pPr>
            <w:r w:rsidRPr="00EC35D3">
              <w:rPr>
                <w:b/>
                <w:bCs/>
                <w:u w:val="single"/>
              </w:rPr>
              <w:t>Hy</w:t>
            </w:r>
            <w:r w:rsidR="00D1546F" w:rsidRPr="00EC35D3">
              <w:rPr>
                <w:b/>
                <w:bCs/>
                <w:u w:val="single"/>
              </w:rPr>
              <w:t>dro</w:t>
            </w:r>
            <w:r w:rsidRPr="00EC35D3">
              <w:rPr>
                <w:b/>
                <w:bCs/>
                <w:u w:val="single"/>
              </w:rPr>
              <w:t xml:space="preserve"> Land Purchase</w:t>
            </w:r>
          </w:p>
          <w:p w14:paraId="403D2EDB" w14:textId="08738523" w:rsidR="00116738" w:rsidRDefault="006F49A0" w:rsidP="00863620">
            <w:r>
              <w:t xml:space="preserve">Area being considered is at </w:t>
            </w:r>
            <w:proofErr w:type="spellStart"/>
            <w:r>
              <w:t>Inverlael</w:t>
            </w:r>
            <w:proofErr w:type="spellEnd"/>
            <w:r>
              <w:t xml:space="preserve">.  UCT has approved a quote from FLS on who will conduct a land valuation. Full consideration will be undertaken on its receipt.  </w:t>
            </w:r>
          </w:p>
        </w:tc>
        <w:tc>
          <w:tcPr>
            <w:tcW w:w="1284" w:type="dxa"/>
          </w:tcPr>
          <w:p w14:paraId="607F76AB" w14:textId="77777777" w:rsidR="00116738" w:rsidRDefault="00116738" w:rsidP="00116738"/>
          <w:p w14:paraId="16676923" w14:textId="4048120C" w:rsidR="00116738" w:rsidRDefault="00116738" w:rsidP="00116738"/>
          <w:p w14:paraId="27E923D6" w14:textId="36109B8A" w:rsidR="00341E90" w:rsidRDefault="00341E90" w:rsidP="00116738"/>
          <w:p w14:paraId="362BCBF5" w14:textId="493C5324" w:rsidR="00341E90" w:rsidRDefault="00341E90" w:rsidP="00116738"/>
          <w:p w14:paraId="2A4E5D74" w14:textId="1B63E8A9" w:rsidR="00341E90" w:rsidRDefault="00341E90" w:rsidP="00116738"/>
          <w:p w14:paraId="62E153BD" w14:textId="6CB45303" w:rsidR="00341E90" w:rsidRDefault="00EC35D3" w:rsidP="00116738">
            <w:r>
              <w:t>RG</w:t>
            </w:r>
          </w:p>
          <w:p w14:paraId="0337FFDC" w14:textId="165F5B4A" w:rsidR="00341E90" w:rsidRDefault="00341E90" w:rsidP="00116738"/>
          <w:p w14:paraId="633DDA7C" w14:textId="56F3A528" w:rsidR="00341E90" w:rsidRDefault="00341E90" w:rsidP="00116738"/>
          <w:p w14:paraId="5C13CEC4" w14:textId="7EF009DE" w:rsidR="00341E90" w:rsidRDefault="00341E90" w:rsidP="00116738"/>
          <w:p w14:paraId="59B79397" w14:textId="72A5F120" w:rsidR="00341E90" w:rsidRDefault="00341E90" w:rsidP="00116738"/>
          <w:p w14:paraId="632060B1" w14:textId="6C2A611B" w:rsidR="00341E90" w:rsidRDefault="00341E90" w:rsidP="00116738"/>
          <w:p w14:paraId="629754D3" w14:textId="77777777" w:rsidR="00116738" w:rsidRDefault="00116738" w:rsidP="00116738"/>
          <w:p w14:paraId="019C3CD4" w14:textId="77777777" w:rsidR="00116738" w:rsidRDefault="00116738" w:rsidP="00116738"/>
          <w:p w14:paraId="2B531E78" w14:textId="2B5E7A29" w:rsidR="006F49A0" w:rsidRDefault="006F49A0" w:rsidP="00116738">
            <w:r>
              <w:t>RG</w:t>
            </w:r>
          </w:p>
          <w:p w14:paraId="4C8E008A" w14:textId="77777777" w:rsidR="006F49A0" w:rsidRDefault="006F49A0" w:rsidP="00116738"/>
          <w:p w14:paraId="619A909E" w14:textId="77777777" w:rsidR="006F49A0" w:rsidRDefault="006F49A0" w:rsidP="00116738"/>
          <w:p w14:paraId="063B4B26" w14:textId="3A1471CE" w:rsidR="006F49A0" w:rsidRDefault="006F49A0" w:rsidP="00116738"/>
        </w:tc>
        <w:tc>
          <w:tcPr>
            <w:tcW w:w="1500" w:type="dxa"/>
          </w:tcPr>
          <w:p w14:paraId="04FE5EF8" w14:textId="77777777" w:rsidR="00116738" w:rsidRDefault="00116738" w:rsidP="00116738"/>
          <w:p w14:paraId="3E9E6D85" w14:textId="77777777" w:rsidR="00773B40" w:rsidRDefault="00773B40" w:rsidP="00116738"/>
          <w:p w14:paraId="450FA9A8" w14:textId="77777777" w:rsidR="00773B40" w:rsidRDefault="00773B40" w:rsidP="00116738"/>
          <w:p w14:paraId="7AC574C5" w14:textId="77777777" w:rsidR="00773B40" w:rsidRDefault="00773B40" w:rsidP="00116738"/>
          <w:p w14:paraId="0009C7B3" w14:textId="77777777" w:rsidR="00773B40" w:rsidRDefault="00773B40" w:rsidP="00116738"/>
          <w:p w14:paraId="0CCD4C80" w14:textId="77777777" w:rsidR="00773B40" w:rsidRDefault="00773B40" w:rsidP="00116738"/>
          <w:p w14:paraId="03EA846C" w14:textId="77777777" w:rsidR="00773B40" w:rsidRDefault="00773B40" w:rsidP="00116738"/>
          <w:p w14:paraId="6E079579" w14:textId="77777777" w:rsidR="00773B40" w:rsidRDefault="00773B40" w:rsidP="00116738"/>
          <w:p w14:paraId="3866DB7A" w14:textId="77777777" w:rsidR="00773B40" w:rsidRDefault="00773B40" w:rsidP="00116738"/>
          <w:p w14:paraId="32945B6C" w14:textId="77777777" w:rsidR="00773B40" w:rsidRDefault="00773B40" w:rsidP="00116738"/>
          <w:p w14:paraId="6221762C" w14:textId="77777777" w:rsidR="00773B40" w:rsidRDefault="00773B40" w:rsidP="00116738"/>
          <w:p w14:paraId="23489689" w14:textId="77777777" w:rsidR="00773B40" w:rsidRDefault="00773B40" w:rsidP="00116738"/>
          <w:p w14:paraId="19F13433" w14:textId="77777777" w:rsidR="00773B40" w:rsidRDefault="00773B40" w:rsidP="00116738"/>
          <w:p w14:paraId="2BBEB524" w14:textId="00C5C3CB" w:rsidR="00773B40" w:rsidRDefault="00773B40" w:rsidP="00116738">
            <w:r>
              <w:t>Ongoing</w:t>
            </w:r>
          </w:p>
        </w:tc>
      </w:tr>
      <w:tr w:rsidR="00116738" w:rsidRPr="00D67E27" w14:paraId="7107BB9E" w14:textId="77777777" w:rsidTr="00F731E1">
        <w:tc>
          <w:tcPr>
            <w:tcW w:w="666" w:type="dxa"/>
            <w:shd w:val="clear" w:color="auto" w:fill="FFC000" w:themeFill="accent4"/>
          </w:tcPr>
          <w:p w14:paraId="14CD4592" w14:textId="77777777" w:rsidR="00116738" w:rsidRPr="00D67E27" w:rsidRDefault="00116738" w:rsidP="00116738">
            <w:pPr>
              <w:jc w:val="center"/>
              <w:rPr>
                <w:b/>
                <w:bCs/>
                <w:sz w:val="24"/>
                <w:szCs w:val="24"/>
              </w:rPr>
            </w:pPr>
            <w:r w:rsidRPr="00D67E27">
              <w:rPr>
                <w:b/>
                <w:bCs/>
                <w:sz w:val="24"/>
                <w:szCs w:val="24"/>
              </w:rPr>
              <w:t>No</w:t>
            </w:r>
          </w:p>
        </w:tc>
        <w:tc>
          <w:tcPr>
            <w:tcW w:w="5566" w:type="dxa"/>
            <w:shd w:val="clear" w:color="auto" w:fill="FFC000" w:themeFill="accent4"/>
          </w:tcPr>
          <w:p w14:paraId="21F2A13F" w14:textId="77777777" w:rsidR="00116738" w:rsidRPr="00D67E27" w:rsidRDefault="00116738" w:rsidP="00116738">
            <w:pPr>
              <w:rPr>
                <w:b/>
                <w:bCs/>
                <w:sz w:val="24"/>
                <w:szCs w:val="24"/>
              </w:rPr>
            </w:pPr>
            <w:r w:rsidRPr="00D67E27">
              <w:rPr>
                <w:b/>
                <w:bCs/>
                <w:sz w:val="24"/>
                <w:szCs w:val="24"/>
              </w:rPr>
              <w:t>Details</w:t>
            </w:r>
          </w:p>
        </w:tc>
        <w:tc>
          <w:tcPr>
            <w:tcW w:w="1284" w:type="dxa"/>
            <w:shd w:val="clear" w:color="auto" w:fill="FFC000" w:themeFill="accent4"/>
          </w:tcPr>
          <w:p w14:paraId="7420B1FE" w14:textId="77777777" w:rsidR="00116738" w:rsidRPr="00D67E27" w:rsidRDefault="00116738" w:rsidP="00116738">
            <w:pPr>
              <w:rPr>
                <w:b/>
                <w:bCs/>
                <w:sz w:val="24"/>
                <w:szCs w:val="24"/>
              </w:rPr>
            </w:pPr>
            <w:r w:rsidRPr="00D67E27">
              <w:rPr>
                <w:b/>
                <w:bCs/>
                <w:sz w:val="24"/>
                <w:szCs w:val="24"/>
              </w:rPr>
              <w:t>Action</w:t>
            </w:r>
          </w:p>
        </w:tc>
        <w:tc>
          <w:tcPr>
            <w:tcW w:w="1500" w:type="dxa"/>
            <w:shd w:val="clear" w:color="auto" w:fill="FFC000" w:themeFill="accent4"/>
          </w:tcPr>
          <w:p w14:paraId="255961C0" w14:textId="77777777" w:rsidR="00116738" w:rsidRPr="00D67E27" w:rsidRDefault="00116738" w:rsidP="00116738">
            <w:pPr>
              <w:rPr>
                <w:b/>
                <w:bCs/>
                <w:sz w:val="24"/>
                <w:szCs w:val="24"/>
              </w:rPr>
            </w:pPr>
            <w:r w:rsidRPr="00D67E27">
              <w:rPr>
                <w:b/>
                <w:bCs/>
                <w:sz w:val="24"/>
                <w:szCs w:val="24"/>
              </w:rPr>
              <w:t>Comment</w:t>
            </w:r>
          </w:p>
        </w:tc>
      </w:tr>
      <w:tr w:rsidR="00116738" w:rsidRPr="00C13D40" w14:paraId="68FB6912" w14:textId="77777777" w:rsidTr="00867845">
        <w:tc>
          <w:tcPr>
            <w:tcW w:w="666" w:type="dxa"/>
            <w:shd w:val="clear" w:color="auto" w:fill="FFF2CC" w:themeFill="accent4" w:themeFillTint="33"/>
          </w:tcPr>
          <w:p w14:paraId="50B5976E" w14:textId="3BE9C614" w:rsidR="00116738" w:rsidRPr="00C13D40" w:rsidRDefault="00EC35D3" w:rsidP="00116738">
            <w:pPr>
              <w:jc w:val="center"/>
              <w:rPr>
                <w:b/>
                <w:bCs/>
                <w:sz w:val="24"/>
                <w:szCs w:val="24"/>
              </w:rPr>
            </w:pPr>
            <w:r>
              <w:rPr>
                <w:b/>
                <w:bCs/>
                <w:sz w:val="24"/>
                <w:szCs w:val="24"/>
              </w:rPr>
              <w:t>8</w:t>
            </w:r>
          </w:p>
        </w:tc>
        <w:tc>
          <w:tcPr>
            <w:tcW w:w="8350" w:type="dxa"/>
            <w:gridSpan w:val="3"/>
            <w:shd w:val="clear" w:color="auto" w:fill="FFF2CC" w:themeFill="accent4" w:themeFillTint="33"/>
          </w:tcPr>
          <w:p w14:paraId="617F3AB0" w14:textId="6F883D16" w:rsidR="00116738" w:rsidRPr="00C13D40" w:rsidRDefault="00EC35D3" w:rsidP="00116738">
            <w:pPr>
              <w:rPr>
                <w:b/>
                <w:bCs/>
                <w:sz w:val="24"/>
                <w:szCs w:val="24"/>
              </w:rPr>
            </w:pPr>
            <w:r>
              <w:rPr>
                <w:b/>
                <w:bCs/>
                <w:sz w:val="24"/>
                <w:szCs w:val="24"/>
              </w:rPr>
              <w:t>Community Benefit Fund</w:t>
            </w:r>
          </w:p>
        </w:tc>
      </w:tr>
      <w:tr w:rsidR="00116738" w14:paraId="6A60EAA9" w14:textId="77777777" w:rsidTr="00863620">
        <w:tc>
          <w:tcPr>
            <w:tcW w:w="666" w:type="dxa"/>
            <w:tcBorders>
              <w:bottom w:val="single" w:sz="4" w:space="0" w:color="auto"/>
            </w:tcBorders>
          </w:tcPr>
          <w:p w14:paraId="0FFAD067" w14:textId="027191B6" w:rsidR="00116738" w:rsidRDefault="00EC35D3" w:rsidP="00116738">
            <w:pPr>
              <w:jc w:val="center"/>
            </w:pPr>
            <w:r>
              <w:t>8</w:t>
            </w:r>
            <w:r w:rsidR="00116738">
              <w:t>.1</w:t>
            </w:r>
          </w:p>
        </w:tc>
        <w:tc>
          <w:tcPr>
            <w:tcW w:w="5566" w:type="dxa"/>
            <w:tcBorders>
              <w:bottom w:val="single" w:sz="4" w:space="0" w:color="auto"/>
            </w:tcBorders>
          </w:tcPr>
          <w:p w14:paraId="5722260F" w14:textId="1B84DC98" w:rsidR="00116738" w:rsidRDefault="004A79F1" w:rsidP="00116738">
            <w:r>
              <w:t xml:space="preserve">DM reported on </w:t>
            </w:r>
            <w:r w:rsidR="00773B40">
              <w:t xml:space="preserve">outcomes of </w:t>
            </w:r>
            <w:r w:rsidR="003C760C">
              <w:t>Community Benefit Fund meetin</w:t>
            </w:r>
            <w:r w:rsidR="00773B40">
              <w:t>g</w:t>
            </w:r>
            <w:r>
              <w:t>.  A total of £18k was requested; the committee has ringfenced 10% of the fund for investment in potential large</w:t>
            </w:r>
            <w:r w:rsidR="003C760C">
              <w:t>r</w:t>
            </w:r>
            <w:r>
              <w:t xml:space="preserve"> future projects.  </w:t>
            </w:r>
            <w:proofErr w:type="gramStart"/>
            <w:r w:rsidR="003C760C">
              <w:t>Overall</w:t>
            </w:r>
            <w:proofErr w:type="gramEnd"/>
            <w:r w:rsidR="003C760C">
              <w:t xml:space="preserve"> a total of</w:t>
            </w:r>
            <w:r>
              <w:t xml:space="preserve"> £8,3</w:t>
            </w:r>
            <w:r w:rsidR="00B9040C">
              <w:t>36.32</w:t>
            </w:r>
            <w:r>
              <w:t xml:space="preserve"> was </w:t>
            </w:r>
            <w:r w:rsidR="003C760C">
              <w:t>fully or part-</w:t>
            </w:r>
            <w:r>
              <w:t xml:space="preserve">allocated to </w:t>
            </w:r>
            <w:r w:rsidR="00B9040C">
              <w:t>eight</w:t>
            </w:r>
            <w:r>
              <w:t xml:space="preserve"> </w:t>
            </w:r>
            <w:r w:rsidR="00B9040C">
              <w:t xml:space="preserve">diverse </w:t>
            </w:r>
            <w:r w:rsidR="003C760C">
              <w:t xml:space="preserve">local </w:t>
            </w:r>
            <w:r>
              <w:t>projects</w:t>
            </w:r>
            <w:r w:rsidR="001C5528">
              <w:t xml:space="preserve">.  </w:t>
            </w:r>
            <w:r w:rsidR="003C760C">
              <w:t>All successful p</w:t>
            </w:r>
            <w:r w:rsidR="001C5528">
              <w:t>roject</w:t>
            </w:r>
            <w:r w:rsidR="003C760C">
              <w:t xml:space="preserve"> applications</w:t>
            </w:r>
            <w:r w:rsidR="001C5528">
              <w:t xml:space="preserve"> have been published on the</w:t>
            </w:r>
            <w:r>
              <w:t xml:space="preserve"> </w:t>
            </w:r>
            <w:proofErr w:type="spellStart"/>
            <w:r w:rsidR="00863620">
              <w:t>B</w:t>
            </w:r>
            <w:r>
              <w:t>roomPower</w:t>
            </w:r>
            <w:proofErr w:type="spellEnd"/>
            <w:r>
              <w:t xml:space="preserve"> </w:t>
            </w:r>
            <w:r w:rsidR="003C760C">
              <w:t xml:space="preserve">website and </w:t>
            </w:r>
            <w:r>
              <w:t>Facebook page</w:t>
            </w:r>
            <w:r w:rsidR="00B9040C">
              <w:t xml:space="preserve">; three projects were unsuccessful.  </w:t>
            </w:r>
          </w:p>
          <w:p w14:paraId="15032E71" w14:textId="530F621F" w:rsidR="00EC35D3" w:rsidRDefault="00B9040C" w:rsidP="00773B40">
            <w:r>
              <w:lastRenderedPageBreak/>
              <w:t>UCT (</w:t>
            </w:r>
            <w:r w:rsidR="003C760C">
              <w:t>Community Benefit Fund Committee</w:t>
            </w:r>
            <w:r>
              <w:t>) had previously agreed to defer their fee (£900)</w:t>
            </w:r>
            <w:r w:rsidR="001C5528">
              <w:t xml:space="preserve"> for</w:t>
            </w:r>
            <w:r>
              <w:t xml:space="preserve"> this year but have indicated that they will in fact issue an invoice.  There is some confusion about </w:t>
            </w:r>
            <w:proofErr w:type="gramStart"/>
            <w:r>
              <w:t>this</w:t>
            </w:r>
            <w:proofErr w:type="gramEnd"/>
            <w:r>
              <w:t xml:space="preserve"> and AK will circulate the email of agreement reminding them of their arrangement.  </w:t>
            </w:r>
          </w:p>
        </w:tc>
        <w:tc>
          <w:tcPr>
            <w:tcW w:w="1284" w:type="dxa"/>
            <w:tcBorders>
              <w:bottom w:val="single" w:sz="4" w:space="0" w:color="auto"/>
            </w:tcBorders>
          </w:tcPr>
          <w:p w14:paraId="0EC97CC1" w14:textId="77777777" w:rsidR="00116738" w:rsidRDefault="00B9040C" w:rsidP="00116738">
            <w:r>
              <w:lastRenderedPageBreak/>
              <w:t>DM</w:t>
            </w:r>
          </w:p>
          <w:p w14:paraId="0613A31F" w14:textId="77777777" w:rsidR="00B9040C" w:rsidRDefault="00B9040C" w:rsidP="00116738"/>
          <w:p w14:paraId="62F7F1F9" w14:textId="77777777" w:rsidR="00B9040C" w:rsidRDefault="00B9040C" w:rsidP="00116738"/>
          <w:p w14:paraId="7FD32885" w14:textId="77777777" w:rsidR="00B9040C" w:rsidRDefault="00B9040C" w:rsidP="00116738"/>
          <w:p w14:paraId="701CFC53" w14:textId="77777777" w:rsidR="00B9040C" w:rsidRDefault="00B9040C" w:rsidP="00116738"/>
          <w:p w14:paraId="26C98EA5" w14:textId="77777777" w:rsidR="00B9040C" w:rsidRDefault="00B9040C" w:rsidP="00116738"/>
          <w:p w14:paraId="3AAF0965" w14:textId="4C5D4FDE" w:rsidR="00B9040C" w:rsidRDefault="00B9040C" w:rsidP="00116738"/>
          <w:p w14:paraId="32CDC580" w14:textId="42C3E8D0" w:rsidR="001C5528" w:rsidRDefault="001C5528" w:rsidP="00116738"/>
          <w:p w14:paraId="70C75C3C" w14:textId="77777777" w:rsidR="00773B40" w:rsidRDefault="00773B40" w:rsidP="00116738"/>
          <w:p w14:paraId="29502A2C" w14:textId="53D02A1C" w:rsidR="00B9040C" w:rsidRDefault="00B9040C" w:rsidP="00116738">
            <w:r>
              <w:lastRenderedPageBreak/>
              <w:t>AK/DM</w:t>
            </w:r>
          </w:p>
          <w:p w14:paraId="361970A8" w14:textId="563E264D" w:rsidR="00B9040C" w:rsidRDefault="00B9040C" w:rsidP="00116738"/>
        </w:tc>
        <w:tc>
          <w:tcPr>
            <w:tcW w:w="1500" w:type="dxa"/>
            <w:tcBorders>
              <w:bottom w:val="single" w:sz="4" w:space="0" w:color="auto"/>
            </w:tcBorders>
          </w:tcPr>
          <w:p w14:paraId="09039B13" w14:textId="574B1A36" w:rsidR="00116738" w:rsidRDefault="00116738" w:rsidP="00116738"/>
        </w:tc>
      </w:tr>
      <w:tr w:rsidR="00116738" w14:paraId="21C720CB" w14:textId="77777777" w:rsidTr="00863620">
        <w:tc>
          <w:tcPr>
            <w:tcW w:w="666" w:type="dxa"/>
            <w:tcBorders>
              <w:bottom w:val="single" w:sz="4" w:space="0" w:color="auto"/>
            </w:tcBorders>
            <w:shd w:val="clear" w:color="auto" w:fill="FFC000"/>
          </w:tcPr>
          <w:p w14:paraId="09CEEA01" w14:textId="0017920B" w:rsidR="008B5CCA" w:rsidRPr="00B9040C" w:rsidRDefault="00B9040C" w:rsidP="00116738">
            <w:pPr>
              <w:jc w:val="center"/>
              <w:rPr>
                <w:b/>
                <w:bCs/>
                <w:sz w:val="24"/>
                <w:szCs w:val="24"/>
              </w:rPr>
            </w:pPr>
            <w:r w:rsidRPr="00B9040C">
              <w:rPr>
                <w:b/>
                <w:bCs/>
                <w:sz w:val="24"/>
                <w:szCs w:val="24"/>
              </w:rPr>
              <w:t>No</w:t>
            </w:r>
          </w:p>
        </w:tc>
        <w:tc>
          <w:tcPr>
            <w:tcW w:w="5566" w:type="dxa"/>
            <w:tcBorders>
              <w:bottom w:val="single" w:sz="4" w:space="0" w:color="auto"/>
            </w:tcBorders>
            <w:shd w:val="clear" w:color="auto" w:fill="FFC000"/>
          </w:tcPr>
          <w:p w14:paraId="61F3D0BF" w14:textId="634F8FB1" w:rsidR="008B5CCA" w:rsidRPr="00B9040C" w:rsidRDefault="00B9040C" w:rsidP="00116738">
            <w:pPr>
              <w:rPr>
                <w:b/>
                <w:bCs/>
                <w:sz w:val="24"/>
                <w:szCs w:val="24"/>
              </w:rPr>
            </w:pPr>
            <w:r w:rsidRPr="00B9040C">
              <w:rPr>
                <w:b/>
                <w:bCs/>
                <w:sz w:val="24"/>
                <w:szCs w:val="24"/>
              </w:rPr>
              <w:t>Details</w:t>
            </w:r>
          </w:p>
        </w:tc>
        <w:tc>
          <w:tcPr>
            <w:tcW w:w="1284" w:type="dxa"/>
            <w:tcBorders>
              <w:bottom w:val="single" w:sz="4" w:space="0" w:color="auto"/>
            </w:tcBorders>
            <w:shd w:val="clear" w:color="auto" w:fill="FFC000"/>
          </w:tcPr>
          <w:p w14:paraId="619C2BEA" w14:textId="6F3204DB" w:rsidR="008B5CCA" w:rsidRPr="00B9040C" w:rsidRDefault="00B9040C" w:rsidP="006F49A0">
            <w:pPr>
              <w:rPr>
                <w:b/>
                <w:bCs/>
                <w:sz w:val="24"/>
                <w:szCs w:val="24"/>
              </w:rPr>
            </w:pPr>
            <w:r w:rsidRPr="00B9040C">
              <w:rPr>
                <w:b/>
                <w:bCs/>
                <w:sz w:val="24"/>
                <w:szCs w:val="24"/>
              </w:rPr>
              <w:t>Action</w:t>
            </w:r>
          </w:p>
        </w:tc>
        <w:tc>
          <w:tcPr>
            <w:tcW w:w="1500" w:type="dxa"/>
            <w:tcBorders>
              <w:bottom w:val="single" w:sz="4" w:space="0" w:color="auto"/>
            </w:tcBorders>
            <w:shd w:val="clear" w:color="auto" w:fill="FFC000"/>
          </w:tcPr>
          <w:p w14:paraId="3F4DABDD" w14:textId="2DCA7F7D" w:rsidR="00116738" w:rsidRPr="00B9040C" w:rsidRDefault="00B9040C" w:rsidP="00116738">
            <w:pPr>
              <w:rPr>
                <w:b/>
                <w:bCs/>
                <w:sz w:val="24"/>
                <w:szCs w:val="24"/>
              </w:rPr>
            </w:pPr>
            <w:r w:rsidRPr="00B9040C">
              <w:rPr>
                <w:b/>
                <w:bCs/>
                <w:sz w:val="24"/>
                <w:szCs w:val="24"/>
              </w:rPr>
              <w:t>Comment</w:t>
            </w:r>
          </w:p>
        </w:tc>
      </w:tr>
      <w:tr w:rsidR="00B9040C" w14:paraId="007283C2" w14:textId="77777777" w:rsidTr="00863620">
        <w:tc>
          <w:tcPr>
            <w:tcW w:w="666" w:type="dxa"/>
            <w:shd w:val="clear" w:color="auto" w:fill="FFF2CC" w:themeFill="accent4" w:themeFillTint="33"/>
          </w:tcPr>
          <w:p w14:paraId="5610AC52" w14:textId="4C89AB5C" w:rsidR="00B9040C" w:rsidRPr="00B9040C" w:rsidRDefault="00B9040C" w:rsidP="00116738">
            <w:pPr>
              <w:jc w:val="center"/>
              <w:rPr>
                <w:b/>
                <w:bCs/>
                <w:sz w:val="24"/>
                <w:szCs w:val="24"/>
              </w:rPr>
            </w:pPr>
            <w:r w:rsidRPr="00B9040C">
              <w:rPr>
                <w:b/>
                <w:bCs/>
                <w:sz w:val="24"/>
                <w:szCs w:val="24"/>
              </w:rPr>
              <w:t>9</w:t>
            </w:r>
          </w:p>
        </w:tc>
        <w:tc>
          <w:tcPr>
            <w:tcW w:w="5566" w:type="dxa"/>
            <w:shd w:val="clear" w:color="auto" w:fill="FFF2CC" w:themeFill="accent4" w:themeFillTint="33"/>
          </w:tcPr>
          <w:p w14:paraId="58AF9A75" w14:textId="1249F1FA" w:rsidR="00B9040C" w:rsidRPr="00B9040C" w:rsidRDefault="00B9040C" w:rsidP="00116738">
            <w:pPr>
              <w:rPr>
                <w:b/>
                <w:bCs/>
                <w:sz w:val="24"/>
                <w:szCs w:val="24"/>
              </w:rPr>
            </w:pPr>
            <w:r w:rsidRPr="00B9040C">
              <w:rPr>
                <w:b/>
                <w:bCs/>
                <w:sz w:val="24"/>
                <w:szCs w:val="24"/>
              </w:rPr>
              <w:t>AOB</w:t>
            </w:r>
          </w:p>
        </w:tc>
        <w:tc>
          <w:tcPr>
            <w:tcW w:w="2784" w:type="dxa"/>
            <w:gridSpan w:val="2"/>
            <w:shd w:val="clear" w:color="auto" w:fill="FFF2CC" w:themeFill="accent4" w:themeFillTint="33"/>
          </w:tcPr>
          <w:p w14:paraId="25B734D5" w14:textId="77777777" w:rsidR="00B9040C" w:rsidRPr="00B9040C" w:rsidRDefault="00B9040C" w:rsidP="00116738">
            <w:pPr>
              <w:rPr>
                <w:b/>
                <w:bCs/>
                <w:sz w:val="24"/>
                <w:szCs w:val="24"/>
              </w:rPr>
            </w:pPr>
          </w:p>
        </w:tc>
      </w:tr>
      <w:tr w:rsidR="00B9040C" w14:paraId="0B93EBAD" w14:textId="77777777" w:rsidTr="00863620">
        <w:tc>
          <w:tcPr>
            <w:tcW w:w="666" w:type="dxa"/>
            <w:tcBorders>
              <w:bottom w:val="single" w:sz="4" w:space="0" w:color="auto"/>
            </w:tcBorders>
          </w:tcPr>
          <w:p w14:paraId="63742392" w14:textId="77777777" w:rsidR="00B9040C" w:rsidRDefault="000624B8" w:rsidP="00116738">
            <w:pPr>
              <w:jc w:val="center"/>
            </w:pPr>
            <w:r>
              <w:t>9.1</w:t>
            </w:r>
          </w:p>
          <w:p w14:paraId="11B61C29" w14:textId="77777777" w:rsidR="000624B8" w:rsidRDefault="000624B8" w:rsidP="00116738">
            <w:pPr>
              <w:jc w:val="center"/>
            </w:pPr>
          </w:p>
          <w:p w14:paraId="7CB9B606" w14:textId="77777777" w:rsidR="000624B8" w:rsidRDefault="000624B8" w:rsidP="00116738">
            <w:pPr>
              <w:jc w:val="center"/>
            </w:pPr>
          </w:p>
          <w:p w14:paraId="51D8FC97" w14:textId="77777777" w:rsidR="000624B8" w:rsidRDefault="000624B8" w:rsidP="00116738">
            <w:pPr>
              <w:jc w:val="center"/>
            </w:pPr>
          </w:p>
          <w:p w14:paraId="35A49FEC" w14:textId="77777777" w:rsidR="000624B8" w:rsidRDefault="000624B8" w:rsidP="00116738">
            <w:pPr>
              <w:jc w:val="center"/>
            </w:pPr>
          </w:p>
          <w:p w14:paraId="5BDC6CA0" w14:textId="77777777" w:rsidR="000624B8" w:rsidRDefault="000624B8" w:rsidP="00116738">
            <w:pPr>
              <w:jc w:val="center"/>
            </w:pPr>
            <w:r>
              <w:t>9.2</w:t>
            </w:r>
          </w:p>
          <w:p w14:paraId="6026F797" w14:textId="77777777" w:rsidR="000624B8" w:rsidRDefault="000624B8" w:rsidP="00116738">
            <w:pPr>
              <w:jc w:val="center"/>
            </w:pPr>
          </w:p>
          <w:p w14:paraId="473C3DC9" w14:textId="77777777" w:rsidR="000624B8" w:rsidRDefault="000624B8" w:rsidP="00116738">
            <w:pPr>
              <w:jc w:val="center"/>
            </w:pPr>
          </w:p>
          <w:p w14:paraId="43341A83" w14:textId="77777777" w:rsidR="000624B8" w:rsidRDefault="000624B8" w:rsidP="00116738">
            <w:pPr>
              <w:jc w:val="center"/>
            </w:pPr>
          </w:p>
          <w:p w14:paraId="669485AB" w14:textId="77777777" w:rsidR="000624B8" w:rsidRDefault="000624B8" w:rsidP="00116738">
            <w:pPr>
              <w:jc w:val="center"/>
            </w:pPr>
          </w:p>
          <w:p w14:paraId="1E5B9E16" w14:textId="77777777" w:rsidR="000624B8" w:rsidRDefault="000624B8" w:rsidP="00116738">
            <w:pPr>
              <w:jc w:val="center"/>
            </w:pPr>
          </w:p>
          <w:p w14:paraId="2F2ED24C" w14:textId="77777777" w:rsidR="000624B8" w:rsidRDefault="000624B8" w:rsidP="00116738">
            <w:pPr>
              <w:jc w:val="center"/>
            </w:pPr>
          </w:p>
          <w:p w14:paraId="66257806" w14:textId="77777777" w:rsidR="000624B8" w:rsidRDefault="000624B8" w:rsidP="00116738">
            <w:pPr>
              <w:jc w:val="center"/>
            </w:pPr>
            <w:r>
              <w:t>9.3</w:t>
            </w:r>
          </w:p>
          <w:p w14:paraId="5F13C38A" w14:textId="77777777" w:rsidR="000624B8" w:rsidRDefault="000624B8" w:rsidP="00116738">
            <w:pPr>
              <w:jc w:val="center"/>
            </w:pPr>
          </w:p>
          <w:p w14:paraId="2B2A4507" w14:textId="77777777" w:rsidR="000624B8" w:rsidRDefault="000624B8" w:rsidP="00116738">
            <w:pPr>
              <w:jc w:val="center"/>
            </w:pPr>
          </w:p>
          <w:p w14:paraId="10092355" w14:textId="77777777" w:rsidR="000624B8" w:rsidRDefault="000624B8" w:rsidP="00116738">
            <w:pPr>
              <w:jc w:val="center"/>
            </w:pPr>
          </w:p>
          <w:p w14:paraId="768AB548" w14:textId="10AEA246" w:rsidR="000624B8" w:rsidRDefault="000624B8" w:rsidP="00116738">
            <w:pPr>
              <w:jc w:val="center"/>
            </w:pPr>
            <w:r>
              <w:t>9.4</w:t>
            </w:r>
          </w:p>
        </w:tc>
        <w:tc>
          <w:tcPr>
            <w:tcW w:w="5566" w:type="dxa"/>
            <w:tcBorders>
              <w:bottom w:val="single" w:sz="4" w:space="0" w:color="auto"/>
            </w:tcBorders>
          </w:tcPr>
          <w:p w14:paraId="2A93E3C2" w14:textId="362ABD1F" w:rsidR="00B9040C" w:rsidRDefault="000624B8" w:rsidP="00116738">
            <w:r>
              <w:t>PGC highlighted mandatory compliance obliging LCR to ensure grid connection is compliant with network resilience</w:t>
            </w:r>
            <w:r w:rsidR="001C5528">
              <w:t xml:space="preserve"> by September 2022</w:t>
            </w:r>
            <w:r>
              <w:t xml:space="preserve">.  This will incur </w:t>
            </w:r>
            <w:r w:rsidR="001C5528">
              <w:t>costs</w:t>
            </w:r>
            <w:r>
              <w:t xml:space="preserve"> and possibility exists to apply to SSE for funding to offset.  </w:t>
            </w:r>
          </w:p>
          <w:p w14:paraId="29470C2C" w14:textId="77777777" w:rsidR="000624B8" w:rsidRDefault="000624B8" w:rsidP="00116738"/>
          <w:p w14:paraId="3F6C41D1" w14:textId="660CC878" w:rsidR="000624B8" w:rsidRDefault="000624B8" w:rsidP="00116738">
            <w:r>
              <w:t>SD reporting for absent TG – UCT’s recent AGM appointed a new temporary chair, Amanda Barry.   As part of her strategy, she intends to focus on communicating aims and roles within the community including areas such as land promotion, forestry purchase and LCR should be aware of this.</w:t>
            </w:r>
          </w:p>
          <w:p w14:paraId="3C523E61" w14:textId="77777777" w:rsidR="000624B8" w:rsidRDefault="000624B8" w:rsidP="00116738"/>
          <w:p w14:paraId="420A2B04" w14:textId="77777777" w:rsidR="000624B8" w:rsidRDefault="000624B8" w:rsidP="00116738">
            <w:r>
              <w:t xml:space="preserve">SEPA have been approached by a company who are doing a hydropower/dance project as part of the Year of Coasts &amp; </w:t>
            </w:r>
            <w:proofErr w:type="gramStart"/>
            <w:r>
              <w:t>Waters</w:t>
            </w:r>
            <w:proofErr w:type="gramEnd"/>
            <w:r>
              <w:t xml:space="preserve"> and they are looking for hydro experts.</w:t>
            </w:r>
          </w:p>
          <w:p w14:paraId="610C3ECB" w14:textId="77777777" w:rsidR="000624B8" w:rsidRDefault="000624B8" w:rsidP="00116738"/>
          <w:p w14:paraId="4259904E" w14:textId="137388FA" w:rsidR="000624B8" w:rsidRDefault="000624B8" w:rsidP="00116738">
            <w:r>
              <w:t>LCR has 33 members from whom there has been no contact; 17 of them are local.  DM suggested making direct contact with them to establish their intentions</w:t>
            </w:r>
            <w:r w:rsidR="007B59EC">
              <w:t xml:space="preserve">.  AK will draw up a letter for board approval. </w:t>
            </w:r>
          </w:p>
        </w:tc>
        <w:tc>
          <w:tcPr>
            <w:tcW w:w="1284" w:type="dxa"/>
            <w:tcBorders>
              <w:bottom w:val="single" w:sz="4" w:space="0" w:color="auto"/>
            </w:tcBorders>
          </w:tcPr>
          <w:p w14:paraId="520A7540" w14:textId="77777777" w:rsidR="00B9040C" w:rsidRDefault="000624B8" w:rsidP="006F49A0">
            <w:r>
              <w:t>PGC</w:t>
            </w:r>
          </w:p>
          <w:p w14:paraId="3523E790" w14:textId="77777777" w:rsidR="007B59EC" w:rsidRDefault="007B59EC" w:rsidP="006F49A0"/>
          <w:p w14:paraId="24709831" w14:textId="77777777" w:rsidR="007B59EC" w:rsidRDefault="007B59EC" w:rsidP="006F49A0"/>
          <w:p w14:paraId="0FE0099F" w14:textId="77777777" w:rsidR="007B59EC" w:rsidRDefault="007B59EC" w:rsidP="006F49A0"/>
          <w:p w14:paraId="7B88E872" w14:textId="77777777" w:rsidR="007B59EC" w:rsidRDefault="007B59EC" w:rsidP="006F49A0"/>
          <w:p w14:paraId="13BD21C1" w14:textId="77777777" w:rsidR="007B59EC" w:rsidRDefault="007B59EC" w:rsidP="006F49A0"/>
          <w:p w14:paraId="693EE16D" w14:textId="77777777" w:rsidR="007B59EC" w:rsidRDefault="007B59EC" w:rsidP="006F49A0"/>
          <w:p w14:paraId="3BE1C02C" w14:textId="77777777" w:rsidR="007B59EC" w:rsidRDefault="007B59EC" w:rsidP="006F49A0"/>
          <w:p w14:paraId="42E29EBF" w14:textId="77777777" w:rsidR="007B59EC" w:rsidRDefault="007B59EC" w:rsidP="006F49A0"/>
          <w:p w14:paraId="56AA9A7D" w14:textId="77777777" w:rsidR="007B59EC" w:rsidRDefault="007B59EC" w:rsidP="006F49A0"/>
          <w:p w14:paraId="0F042960" w14:textId="77777777" w:rsidR="007B59EC" w:rsidRDefault="007B59EC" w:rsidP="006F49A0"/>
          <w:p w14:paraId="7075F28F" w14:textId="77777777" w:rsidR="007B59EC" w:rsidRDefault="007B59EC" w:rsidP="006F49A0"/>
          <w:p w14:paraId="7DE92778" w14:textId="3CB74F15" w:rsidR="007B59EC" w:rsidRDefault="001C5528" w:rsidP="006F49A0">
            <w:r>
              <w:t>PGC</w:t>
            </w:r>
          </w:p>
          <w:p w14:paraId="26F9214E" w14:textId="77777777" w:rsidR="007B59EC" w:rsidRDefault="007B59EC" w:rsidP="006F49A0"/>
          <w:p w14:paraId="3A1EC14D" w14:textId="77777777" w:rsidR="007B59EC" w:rsidRDefault="007B59EC" w:rsidP="006F49A0"/>
          <w:p w14:paraId="66204B75" w14:textId="77777777" w:rsidR="007B59EC" w:rsidRDefault="007B59EC" w:rsidP="006F49A0"/>
          <w:p w14:paraId="7809C95B" w14:textId="3728887E" w:rsidR="007B59EC" w:rsidRDefault="007B59EC" w:rsidP="006F49A0">
            <w:r>
              <w:t>DM/AK</w:t>
            </w:r>
          </w:p>
          <w:p w14:paraId="0101D1A3" w14:textId="7FFBC036" w:rsidR="007B59EC" w:rsidRDefault="007B59EC" w:rsidP="006F49A0"/>
        </w:tc>
        <w:tc>
          <w:tcPr>
            <w:tcW w:w="1500" w:type="dxa"/>
            <w:tcBorders>
              <w:bottom w:val="single" w:sz="4" w:space="0" w:color="auto"/>
            </w:tcBorders>
          </w:tcPr>
          <w:p w14:paraId="66CDDAB7" w14:textId="77777777" w:rsidR="00B9040C" w:rsidRDefault="000624B8" w:rsidP="00116738">
            <w:r>
              <w:t>Discuss at next meeting</w:t>
            </w:r>
          </w:p>
          <w:p w14:paraId="4DFDCD70" w14:textId="77777777" w:rsidR="007B59EC" w:rsidRDefault="007B59EC" w:rsidP="00116738"/>
          <w:p w14:paraId="6CE5D7D1" w14:textId="77777777" w:rsidR="007B59EC" w:rsidRDefault="007B59EC" w:rsidP="00116738"/>
          <w:p w14:paraId="242163D9" w14:textId="77777777" w:rsidR="007B59EC" w:rsidRDefault="007B59EC" w:rsidP="00116738"/>
          <w:p w14:paraId="153A37CF" w14:textId="5AADE32E" w:rsidR="007B59EC" w:rsidRDefault="007B59EC" w:rsidP="00116738">
            <w:r>
              <w:t>For info</w:t>
            </w:r>
          </w:p>
          <w:p w14:paraId="283B07E8" w14:textId="77777777" w:rsidR="007B59EC" w:rsidRDefault="007B59EC" w:rsidP="00116738"/>
          <w:p w14:paraId="6CD48448" w14:textId="77777777" w:rsidR="007B59EC" w:rsidRDefault="007B59EC" w:rsidP="00116738"/>
          <w:p w14:paraId="4C3641C2" w14:textId="77777777" w:rsidR="007B59EC" w:rsidRDefault="007B59EC" w:rsidP="00116738"/>
          <w:p w14:paraId="17534A31" w14:textId="77777777" w:rsidR="007B59EC" w:rsidRDefault="007B59EC" w:rsidP="00116738"/>
          <w:p w14:paraId="737DBB1F" w14:textId="77777777" w:rsidR="007B59EC" w:rsidRDefault="007B59EC" w:rsidP="00116738"/>
          <w:p w14:paraId="1106966F" w14:textId="77777777" w:rsidR="007B59EC" w:rsidRDefault="007B59EC" w:rsidP="00116738"/>
          <w:p w14:paraId="75DF3FAF" w14:textId="77777777" w:rsidR="007B59EC" w:rsidRDefault="007B59EC" w:rsidP="00116738"/>
          <w:p w14:paraId="26B7D1FB" w14:textId="77777777" w:rsidR="007B59EC" w:rsidRDefault="007B59EC" w:rsidP="00116738"/>
          <w:p w14:paraId="004EDE2A" w14:textId="77777777" w:rsidR="007B59EC" w:rsidRDefault="007B59EC" w:rsidP="00116738"/>
          <w:p w14:paraId="5B4DE0B6" w14:textId="77777777" w:rsidR="007B59EC" w:rsidRDefault="007B59EC" w:rsidP="00116738"/>
          <w:p w14:paraId="3F648354" w14:textId="140C78B6" w:rsidR="007B59EC" w:rsidRDefault="007B59EC" w:rsidP="00116738">
            <w:r>
              <w:t>Approve at next meeting</w:t>
            </w:r>
          </w:p>
          <w:p w14:paraId="3DD410C3" w14:textId="55B29755" w:rsidR="007B59EC" w:rsidRDefault="007B59EC" w:rsidP="00116738"/>
        </w:tc>
      </w:tr>
      <w:tr w:rsidR="00116738" w14:paraId="62A9EE47" w14:textId="77777777" w:rsidTr="00863620">
        <w:tc>
          <w:tcPr>
            <w:tcW w:w="9016" w:type="dxa"/>
            <w:gridSpan w:val="4"/>
            <w:shd w:val="clear" w:color="auto" w:fill="FFC000"/>
          </w:tcPr>
          <w:p w14:paraId="7854A77A" w14:textId="3FB62ACA" w:rsidR="00116738" w:rsidRPr="00447F24" w:rsidRDefault="00116738" w:rsidP="00116738">
            <w:pPr>
              <w:rPr>
                <w:b/>
                <w:bCs/>
                <w:sz w:val="24"/>
                <w:szCs w:val="24"/>
              </w:rPr>
            </w:pPr>
            <w:r w:rsidRPr="00447F24">
              <w:rPr>
                <w:b/>
                <w:bCs/>
                <w:sz w:val="24"/>
                <w:szCs w:val="24"/>
              </w:rPr>
              <w:t xml:space="preserve">Date </w:t>
            </w:r>
            <w:r>
              <w:rPr>
                <w:b/>
                <w:bCs/>
                <w:sz w:val="24"/>
                <w:szCs w:val="24"/>
              </w:rPr>
              <w:t>Next Meeting</w:t>
            </w:r>
          </w:p>
        </w:tc>
      </w:tr>
      <w:tr w:rsidR="00116738" w14:paraId="5D919722" w14:textId="77777777" w:rsidTr="00F731E1">
        <w:tc>
          <w:tcPr>
            <w:tcW w:w="666" w:type="dxa"/>
          </w:tcPr>
          <w:p w14:paraId="417DE651" w14:textId="77777777" w:rsidR="00116738" w:rsidRDefault="00116738" w:rsidP="00116738">
            <w:pPr>
              <w:jc w:val="center"/>
            </w:pPr>
          </w:p>
        </w:tc>
        <w:tc>
          <w:tcPr>
            <w:tcW w:w="5566" w:type="dxa"/>
          </w:tcPr>
          <w:p w14:paraId="15F980A1" w14:textId="49EB7FC5" w:rsidR="00116738" w:rsidRDefault="00116738" w:rsidP="00116738">
            <w:r>
              <w:t xml:space="preserve">Wednesday </w:t>
            </w:r>
            <w:r w:rsidR="00B9630E">
              <w:t>28 January</w:t>
            </w:r>
            <w:r>
              <w:t xml:space="preserve"> 2020 @7.30pm</w:t>
            </w:r>
          </w:p>
        </w:tc>
        <w:tc>
          <w:tcPr>
            <w:tcW w:w="1284" w:type="dxa"/>
          </w:tcPr>
          <w:p w14:paraId="1FC853BE" w14:textId="276D4804" w:rsidR="00116738" w:rsidRDefault="00116738" w:rsidP="00116738"/>
        </w:tc>
        <w:tc>
          <w:tcPr>
            <w:tcW w:w="1500" w:type="dxa"/>
          </w:tcPr>
          <w:p w14:paraId="63415CCA" w14:textId="0F861F59" w:rsidR="00116738" w:rsidRDefault="00116738" w:rsidP="00116738"/>
        </w:tc>
      </w:tr>
    </w:tbl>
    <w:p w14:paraId="441884D2" w14:textId="77777777" w:rsidR="005B0504" w:rsidRDefault="005B0504"/>
    <w:sectPr w:rsidR="005B050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4786" w14:textId="77777777" w:rsidR="00F51442" w:rsidRDefault="00F51442" w:rsidP="00C13D40">
      <w:pPr>
        <w:spacing w:after="0" w:line="240" w:lineRule="auto"/>
      </w:pPr>
      <w:r>
        <w:separator/>
      </w:r>
    </w:p>
  </w:endnote>
  <w:endnote w:type="continuationSeparator" w:id="0">
    <w:p w14:paraId="47B19068" w14:textId="77777777" w:rsidR="00F51442" w:rsidRDefault="00F51442" w:rsidP="00C1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337686"/>
      <w:docPartObj>
        <w:docPartGallery w:val="Page Numbers (Bottom of Page)"/>
        <w:docPartUnique/>
      </w:docPartObj>
    </w:sdtPr>
    <w:sdtEndPr>
      <w:rPr>
        <w:noProof/>
      </w:rPr>
    </w:sdtEndPr>
    <w:sdtContent>
      <w:p w14:paraId="64E65240" w14:textId="3A717B1A" w:rsidR="00C13D40" w:rsidRDefault="00C13D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0752C4" w14:textId="77777777" w:rsidR="00C13D40" w:rsidRDefault="00C13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2924" w14:textId="77777777" w:rsidR="00F51442" w:rsidRDefault="00F51442" w:rsidP="00C13D40">
      <w:pPr>
        <w:spacing w:after="0" w:line="240" w:lineRule="auto"/>
      </w:pPr>
      <w:r>
        <w:separator/>
      </w:r>
    </w:p>
  </w:footnote>
  <w:footnote w:type="continuationSeparator" w:id="0">
    <w:p w14:paraId="3862C123" w14:textId="77777777" w:rsidR="00F51442" w:rsidRDefault="00F51442" w:rsidP="00C13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F0D95"/>
    <w:multiLevelType w:val="hybridMultilevel"/>
    <w:tmpl w:val="8CC0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60DE5"/>
    <w:multiLevelType w:val="hybridMultilevel"/>
    <w:tmpl w:val="750E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E067C6"/>
    <w:multiLevelType w:val="hybridMultilevel"/>
    <w:tmpl w:val="E636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F1254"/>
    <w:multiLevelType w:val="hybridMultilevel"/>
    <w:tmpl w:val="8458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9339AE"/>
    <w:multiLevelType w:val="hybridMultilevel"/>
    <w:tmpl w:val="FE7A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503694"/>
    <w:multiLevelType w:val="hybridMultilevel"/>
    <w:tmpl w:val="1206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82"/>
    <w:rsid w:val="0006013F"/>
    <w:rsid w:val="000624B8"/>
    <w:rsid w:val="000639F6"/>
    <w:rsid w:val="000B7390"/>
    <w:rsid w:val="000E428D"/>
    <w:rsid w:val="000F57C0"/>
    <w:rsid w:val="00113A21"/>
    <w:rsid w:val="00116738"/>
    <w:rsid w:val="001352B9"/>
    <w:rsid w:val="0014284C"/>
    <w:rsid w:val="0018153C"/>
    <w:rsid w:val="00193666"/>
    <w:rsid w:val="001A1A3F"/>
    <w:rsid w:val="001C5528"/>
    <w:rsid w:val="001C6382"/>
    <w:rsid w:val="001D5FC0"/>
    <w:rsid w:val="002319BE"/>
    <w:rsid w:val="002847B9"/>
    <w:rsid w:val="003030F1"/>
    <w:rsid w:val="00341E90"/>
    <w:rsid w:val="00347D92"/>
    <w:rsid w:val="00372997"/>
    <w:rsid w:val="00380DE5"/>
    <w:rsid w:val="003C760C"/>
    <w:rsid w:val="003F55A4"/>
    <w:rsid w:val="004227A4"/>
    <w:rsid w:val="00447F24"/>
    <w:rsid w:val="0048459D"/>
    <w:rsid w:val="00493536"/>
    <w:rsid w:val="00493DF3"/>
    <w:rsid w:val="004A79F1"/>
    <w:rsid w:val="004D0B5C"/>
    <w:rsid w:val="004E5D20"/>
    <w:rsid w:val="0051265B"/>
    <w:rsid w:val="00517CE4"/>
    <w:rsid w:val="0056522F"/>
    <w:rsid w:val="0057454F"/>
    <w:rsid w:val="005B0504"/>
    <w:rsid w:val="005F720A"/>
    <w:rsid w:val="00605E70"/>
    <w:rsid w:val="00606DB7"/>
    <w:rsid w:val="00655998"/>
    <w:rsid w:val="0065646D"/>
    <w:rsid w:val="00665C75"/>
    <w:rsid w:val="006F49A0"/>
    <w:rsid w:val="00704043"/>
    <w:rsid w:val="0075152F"/>
    <w:rsid w:val="00773B40"/>
    <w:rsid w:val="007741BD"/>
    <w:rsid w:val="007B550F"/>
    <w:rsid w:val="007B59EC"/>
    <w:rsid w:val="007C51BD"/>
    <w:rsid w:val="00816E0F"/>
    <w:rsid w:val="00846099"/>
    <w:rsid w:val="00851FDE"/>
    <w:rsid w:val="00863620"/>
    <w:rsid w:val="00891CB3"/>
    <w:rsid w:val="008B5CCA"/>
    <w:rsid w:val="00921C0E"/>
    <w:rsid w:val="0093285C"/>
    <w:rsid w:val="009400F8"/>
    <w:rsid w:val="009878C3"/>
    <w:rsid w:val="009B3756"/>
    <w:rsid w:val="009C3E7F"/>
    <w:rsid w:val="00A10B52"/>
    <w:rsid w:val="00A50B0C"/>
    <w:rsid w:val="00A53B52"/>
    <w:rsid w:val="00A60E1F"/>
    <w:rsid w:val="00A95928"/>
    <w:rsid w:val="00AE0411"/>
    <w:rsid w:val="00AE56F4"/>
    <w:rsid w:val="00B65C2F"/>
    <w:rsid w:val="00B8574D"/>
    <w:rsid w:val="00B9040C"/>
    <w:rsid w:val="00B9630E"/>
    <w:rsid w:val="00BA6223"/>
    <w:rsid w:val="00BC1545"/>
    <w:rsid w:val="00BD51E9"/>
    <w:rsid w:val="00C13D40"/>
    <w:rsid w:val="00C53D45"/>
    <w:rsid w:val="00CF1ABF"/>
    <w:rsid w:val="00CF65C9"/>
    <w:rsid w:val="00D1546F"/>
    <w:rsid w:val="00D1726B"/>
    <w:rsid w:val="00D22A60"/>
    <w:rsid w:val="00D236E5"/>
    <w:rsid w:val="00D3294D"/>
    <w:rsid w:val="00D37A15"/>
    <w:rsid w:val="00D501B5"/>
    <w:rsid w:val="00D67E27"/>
    <w:rsid w:val="00D8630B"/>
    <w:rsid w:val="00DB3507"/>
    <w:rsid w:val="00DB3702"/>
    <w:rsid w:val="00DD141A"/>
    <w:rsid w:val="00DE1814"/>
    <w:rsid w:val="00E0510D"/>
    <w:rsid w:val="00E33F76"/>
    <w:rsid w:val="00EC35D3"/>
    <w:rsid w:val="00EF4921"/>
    <w:rsid w:val="00F07464"/>
    <w:rsid w:val="00F11C22"/>
    <w:rsid w:val="00F44C20"/>
    <w:rsid w:val="00F51442"/>
    <w:rsid w:val="00F63514"/>
    <w:rsid w:val="00F731E1"/>
    <w:rsid w:val="00F85F93"/>
    <w:rsid w:val="00FB7568"/>
    <w:rsid w:val="00FD75AC"/>
    <w:rsid w:val="00FF5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C1B3"/>
  <w15:chartTrackingRefBased/>
  <w15:docId w15:val="{8592C0BF-722D-4DAA-BFD9-C39ED9EC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84C"/>
    <w:pPr>
      <w:ind w:left="720"/>
      <w:contextualSpacing/>
    </w:pPr>
  </w:style>
  <w:style w:type="paragraph" w:styleId="Header">
    <w:name w:val="header"/>
    <w:basedOn w:val="Normal"/>
    <w:link w:val="HeaderChar"/>
    <w:uiPriority w:val="99"/>
    <w:unhideWhenUsed/>
    <w:rsid w:val="00C13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D40"/>
  </w:style>
  <w:style w:type="paragraph" w:styleId="Footer">
    <w:name w:val="footer"/>
    <w:basedOn w:val="Normal"/>
    <w:link w:val="FooterChar"/>
    <w:uiPriority w:val="99"/>
    <w:unhideWhenUsed/>
    <w:rsid w:val="00C13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0578C-04EE-4693-AA77-FEB82D0D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858</Words>
  <Characters>4894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Alison Parson</cp:lastModifiedBy>
  <cp:revision>2</cp:revision>
  <cp:lastPrinted>2020-12-14T16:05:00Z</cp:lastPrinted>
  <dcterms:created xsi:type="dcterms:W3CDTF">2021-10-07T12:30:00Z</dcterms:created>
  <dcterms:modified xsi:type="dcterms:W3CDTF">2021-10-07T12:30:00Z</dcterms:modified>
</cp:coreProperties>
</file>